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83D" w:rsidRDefault="004D35F5">
      <w:r>
        <w:t>DIAGNOSTICO DEL MUNICIPIO DE APASEO EL GRANDE 2019</w:t>
      </w:r>
    </w:p>
    <w:p w:rsidR="00A931C9" w:rsidRDefault="00A931C9">
      <w:r>
        <w:t xml:space="preserve">EJE 2.- </w:t>
      </w:r>
    </w:p>
    <w:p w:rsidR="004D35F5" w:rsidRDefault="00A931C9">
      <w:r>
        <w:t>2</w:t>
      </w:r>
      <w:r w:rsidR="00E749E7">
        <w:t xml:space="preserve">.- </w:t>
      </w:r>
      <w:r w:rsidR="004D35F5">
        <w:t xml:space="preserve">BIENESTAR SOCIAL </w:t>
      </w:r>
    </w:p>
    <w:p w:rsidR="00644E1A" w:rsidRDefault="00644E1A" w:rsidP="00644E1A">
      <w:pPr>
        <w:jc w:val="both"/>
      </w:pPr>
      <w:r>
        <w:rPr>
          <w:rFonts w:ascii="Times New Roman" w:hAnsi="Times New Roman" w:cs="Times New Roman"/>
          <w:i/>
        </w:rPr>
        <w:t xml:space="preserve">El Municipio debe proveer a </w:t>
      </w:r>
      <w:r w:rsidRPr="009B5F2E">
        <w:rPr>
          <w:rFonts w:ascii="Times New Roman" w:hAnsi="Times New Roman" w:cs="Times New Roman"/>
          <w:i/>
        </w:rPr>
        <w:t>las familias</w:t>
      </w:r>
      <w:r>
        <w:rPr>
          <w:rFonts w:ascii="Times New Roman" w:hAnsi="Times New Roman" w:cs="Times New Roman"/>
          <w:i/>
        </w:rPr>
        <w:t xml:space="preserve"> para que</w:t>
      </w:r>
      <w:r w:rsidRPr="009B5F2E">
        <w:rPr>
          <w:rFonts w:ascii="Times New Roman" w:hAnsi="Times New Roman" w:cs="Times New Roman"/>
          <w:i/>
        </w:rPr>
        <w:t xml:space="preserve"> tengan mayor bienestar y una vida más digna a través d</w:t>
      </w:r>
      <w:r>
        <w:rPr>
          <w:rFonts w:ascii="Times New Roman" w:hAnsi="Times New Roman" w:cs="Times New Roman"/>
          <w:i/>
        </w:rPr>
        <w:t xml:space="preserve">el desarrollo social, espiritual y material, con nuevas oportunidades de atención a la salud, la educación y a la vivienda; con una integración activa de las personas en la sociedad, en la cultura y en el deporte con el fin de lograr una  transformación social y disminución de pobreza.   </w:t>
      </w:r>
    </w:p>
    <w:p w:rsidR="00DD1B74" w:rsidRDefault="004D35F5" w:rsidP="00644E1A">
      <w:pPr>
        <w:jc w:val="both"/>
        <w:rPr>
          <w:rFonts w:ascii="Arial" w:hAnsi="Arial" w:cs="Arial"/>
          <w:sz w:val="25"/>
          <w:szCs w:val="25"/>
        </w:rPr>
      </w:pPr>
      <w:r>
        <w:rPr>
          <w:rFonts w:ascii="Arial" w:hAnsi="Arial" w:cs="Arial"/>
          <w:sz w:val="25"/>
          <w:szCs w:val="25"/>
        </w:rPr>
        <w:t>En este apartado se desarrollan los temas de desarrollo social, salud, vivienda, familia, cultura, deporte y derecho de las mujeres a una vida libre de violencia, que tienen que ver con las condiciones responsabilidad del estado para el desarrollo de las personas, las familias y las comunidades.</w:t>
      </w:r>
    </w:p>
    <w:p w:rsidR="00C166C0" w:rsidRPr="00C166C0" w:rsidRDefault="00C166C0" w:rsidP="00C166C0">
      <w:pPr>
        <w:rPr>
          <w:rFonts w:ascii="Arial" w:hAnsi="Arial" w:cs="Arial"/>
          <w:sz w:val="25"/>
          <w:szCs w:val="25"/>
        </w:rPr>
      </w:pPr>
      <w:r>
        <w:rPr>
          <w:rFonts w:ascii="Arial" w:hAnsi="Arial" w:cs="Arial"/>
          <w:sz w:val="25"/>
          <w:szCs w:val="25"/>
        </w:rPr>
        <w:t>2.1.</w:t>
      </w:r>
      <w:r w:rsidR="00DD1B74" w:rsidRPr="00DD1B74">
        <w:rPr>
          <w:rFonts w:ascii="Arial" w:hAnsi="Arial" w:cs="Arial"/>
          <w:b/>
          <w:sz w:val="25"/>
          <w:szCs w:val="25"/>
        </w:rPr>
        <w:t xml:space="preserve"> Bien</w:t>
      </w:r>
      <w:r>
        <w:rPr>
          <w:rFonts w:ascii="Arial" w:hAnsi="Arial" w:cs="Arial"/>
          <w:b/>
          <w:sz w:val="25"/>
          <w:szCs w:val="25"/>
        </w:rPr>
        <w:t>estar social</w:t>
      </w:r>
    </w:p>
    <w:p w:rsidR="00C166C0" w:rsidRDefault="00C166C0" w:rsidP="00C166C0">
      <w:pPr>
        <w:pStyle w:val="Prrafodelista"/>
        <w:ind w:left="0"/>
        <w:rPr>
          <w:rFonts w:ascii="Arial" w:hAnsi="Arial" w:cs="Arial"/>
          <w:sz w:val="26"/>
          <w:szCs w:val="26"/>
        </w:rPr>
      </w:pPr>
      <w:r>
        <w:rPr>
          <w:rFonts w:ascii="Arial" w:hAnsi="Arial" w:cs="Arial"/>
          <w:sz w:val="26"/>
          <w:szCs w:val="26"/>
        </w:rPr>
        <w:t xml:space="preserve">2.1.1. </w:t>
      </w:r>
      <w:r w:rsidR="004D35F5">
        <w:rPr>
          <w:rFonts w:ascii="Arial" w:hAnsi="Arial" w:cs="Arial"/>
          <w:sz w:val="26"/>
          <w:szCs w:val="26"/>
        </w:rPr>
        <w:t xml:space="preserve">Desarrollo </w:t>
      </w:r>
      <w:r w:rsidR="00DD1B74">
        <w:rPr>
          <w:rFonts w:ascii="Arial" w:hAnsi="Arial" w:cs="Arial"/>
          <w:sz w:val="26"/>
          <w:szCs w:val="26"/>
        </w:rPr>
        <w:t>Social</w:t>
      </w:r>
    </w:p>
    <w:p w:rsidR="00C166C0" w:rsidRDefault="00C166C0" w:rsidP="00C166C0">
      <w:pPr>
        <w:pStyle w:val="Prrafodelista"/>
        <w:ind w:left="0"/>
        <w:rPr>
          <w:rFonts w:ascii="Arial" w:hAnsi="Arial" w:cs="Arial"/>
          <w:sz w:val="26"/>
          <w:szCs w:val="26"/>
        </w:rPr>
      </w:pPr>
      <w:r>
        <w:rPr>
          <w:rFonts w:ascii="Arial" w:hAnsi="Arial" w:cs="Arial"/>
          <w:sz w:val="26"/>
          <w:szCs w:val="26"/>
        </w:rPr>
        <w:t xml:space="preserve">2.1.2. </w:t>
      </w:r>
      <w:r w:rsidR="00DD1B74" w:rsidRPr="00C166C0">
        <w:rPr>
          <w:rFonts w:ascii="Arial" w:hAnsi="Arial" w:cs="Arial"/>
          <w:sz w:val="26"/>
          <w:szCs w:val="26"/>
        </w:rPr>
        <w:t>Salud</w:t>
      </w:r>
    </w:p>
    <w:p w:rsidR="00C166C0" w:rsidRDefault="00C166C0" w:rsidP="00C166C0">
      <w:pPr>
        <w:pStyle w:val="Prrafodelista"/>
        <w:ind w:left="0"/>
        <w:rPr>
          <w:rFonts w:ascii="Arial" w:hAnsi="Arial" w:cs="Arial"/>
          <w:sz w:val="26"/>
          <w:szCs w:val="26"/>
        </w:rPr>
      </w:pPr>
      <w:r>
        <w:rPr>
          <w:rFonts w:ascii="Arial" w:hAnsi="Arial" w:cs="Arial"/>
          <w:sz w:val="26"/>
          <w:szCs w:val="26"/>
        </w:rPr>
        <w:t xml:space="preserve">2.1.3. </w:t>
      </w:r>
      <w:r w:rsidR="00DD1B74" w:rsidRPr="00C166C0">
        <w:rPr>
          <w:rFonts w:ascii="Arial" w:hAnsi="Arial" w:cs="Arial"/>
          <w:sz w:val="26"/>
          <w:szCs w:val="26"/>
        </w:rPr>
        <w:t>Familia</w:t>
      </w:r>
    </w:p>
    <w:p w:rsidR="00DD1B74" w:rsidRPr="00DD1B74" w:rsidRDefault="00C166C0" w:rsidP="00C166C0">
      <w:pPr>
        <w:pStyle w:val="Prrafodelista"/>
        <w:ind w:left="0"/>
      </w:pPr>
      <w:r>
        <w:rPr>
          <w:rFonts w:ascii="Arial" w:hAnsi="Arial" w:cs="Arial"/>
          <w:sz w:val="26"/>
          <w:szCs w:val="26"/>
        </w:rPr>
        <w:t xml:space="preserve">2.1.4. </w:t>
      </w:r>
      <w:r w:rsidR="00DD1B74" w:rsidRPr="00C166C0">
        <w:rPr>
          <w:rFonts w:ascii="Arial" w:hAnsi="Arial" w:cs="Arial"/>
          <w:sz w:val="26"/>
          <w:szCs w:val="26"/>
        </w:rPr>
        <w:t>Vivienda</w:t>
      </w:r>
    </w:p>
    <w:p w:rsidR="00C166C0" w:rsidRPr="00C166C0" w:rsidRDefault="00DD1B74" w:rsidP="00C166C0">
      <w:pPr>
        <w:pStyle w:val="Prrafodelista"/>
        <w:numPr>
          <w:ilvl w:val="2"/>
          <w:numId w:val="5"/>
        </w:numPr>
      </w:pPr>
      <w:r w:rsidRPr="00C166C0">
        <w:rPr>
          <w:rFonts w:ascii="Arial" w:hAnsi="Arial" w:cs="Arial"/>
          <w:sz w:val="26"/>
          <w:szCs w:val="26"/>
        </w:rPr>
        <w:t>Cultura</w:t>
      </w:r>
    </w:p>
    <w:p w:rsidR="00C166C0" w:rsidRPr="00C166C0" w:rsidRDefault="00C166C0" w:rsidP="00C166C0">
      <w:pPr>
        <w:pStyle w:val="Prrafodelista"/>
        <w:numPr>
          <w:ilvl w:val="2"/>
          <w:numId w:val="5"/>
        </w:numPr>
      </w:pPr>
      <w:r w:rsidRPr="00C166C0">
        <w:rPr>
          <w:rFonts w:ascii="Arial" w:hAnsi="Arial" w:cs="Arial"/>
          <w:sz w:val="26"/>
          <w:szCs w:val="26"/>
        </w:rPr>
        <w:t>Deporte</w:t>
      </w:r>
    </w:p>
    <w:p w:rsidR="00DD1B74" w:rsidRPr="00DD1B74" w:rsidRDefault="00C166C0" w:rsidP="00C166C0">
      <w:pPr>
        <w:pStyle w:val="Prrafodelista"/>
        <w:numPr>
          <w:ilvl w:val="2"/>
          <w:numId w:val="6"/>
        </w:numPr>
      </w:pPr>
      <w:r w:rsidRPr="00C166C0">
        <w:rPr>
          <w:rFonts w:ascii="Arial" w:hAnsi="Arial" w:cs="Arial"/>
          <w:sz w:val="26"/>
          <w:szCs w:val="26"/>
        </w:rPr>
        <w:t>Derecho de las mujeres sin violencia</w:t>
      </w:r>
    </w:p>
    <w:p w:rsidR="00DD1B74" w:rsidRPr="00DD1B74" w:rsidRDefault="00DD1B74" w:rsidP="00DD1B74">
      <w:pPr>
        <w:pStyle w:val="Prrafodelista"/>
        <w:ind w:left="360"/>
      </w:pPr>
    </w:p>
    <w:p w:rsidR="00DD1B74" w:rsidRPr="00C166C0" w:rsidRDefault="00DD1B74" w:rsidP="00C166C0">
      <w:pPr>
        <w:pStyle w:val="Prrafodelista"/>
        <w:numPr>
          <w:ilvl w:val="1"/>
          <w:numId w:val="5"/>
        </w:numPr>
        <w:rPr>
          <w:b/>
        </w:rPr>
      </w:pPr>
      <w:r w:rsidRPr="00C166C0">
        <w:rPr>
          <w:rFonts w:ascii="Arial" w:hAnsi="Arial" w:cs="Arial"/>
          <w:b/>
          <w:sz w:val="26"/>
          <w:szCs w:val="26"/>
        </w:rPr>
        <w:t>Educación</w:t>
      </w:r>
    </w:p>
    <w:p w:rsidR="00DD1B74" w:rsidRPr="00DD1B74" w:rsidRDefault="00DD1B74" w:rsidP="00C166C0">
      <w:pPr>
        <w:pStyle w:val="Prrafodelista"/>
        <w:numPr>
          <w:ilvl w:val="2"/>
          <w:numId w:val="7"/>
        </w:numPr>
      </w:pPr>
      <w:r w:rsidRPr="00C166C0">
        <w:rPr>
          <w:rFonts w:ascii="Arial" w:hAnsi="Arial" w:cs="Arial"/>
          <w:sz w:val="26"/>
          <w:szCs w:val="26"/>
        </w:rPr>
        <w:t>Rezago educativo</w:t>
      </w:r>
    </w:p>
    <w:p w:rsidR="00DD1B74" w:rsidRPr="00DD1B74" w:rsidRDefault="00DD1B74" w:rsidP="00C166C0">
      <w:pPr>
        <w:pStyle w:val="Prrafodelista"/>
        <w:numPr>
          <w:ilvl w:val="2"/>
          <w:numId w:val="7"/>
        </w:numPr>
      </w:pPr>
      <w:r w:rsidRPr="00C166C0">
        <w:rPr>
          <w:rFonts w:ascii="Arial" w:hAnsi="Arial" w:cs="Arial"/>
          <w:sz w:val="26"/>
          <w:szCs w:val="26"/>
        </w:rPr>
        <w:t>Educación obligatoria</w:t>
      </w:r>
    </w:p>
    <w:p w:rsidR="00DD1B74" w:rsidRPr="00DD1B74" w:rsidRDefault="00DD1B74" w:rsidP="00C166C0">
      <w:pPr>
        <w:pStyle w:val="Prrafodelista"/>
        <w:numPr>
          <w:ilvl w:val="2"/>
          <w:numId w:val="7"/>
        </w:numPr>
      </w:pPr>
      <w:r w:rsidRPr="00C166C0">
        <w:rPr>
          <w:rFonts w:ascii="Arial" w:hAnsi="Arial" w:cs="Arial"/>
          <w:sz w:val="26"/>
          <w:szCs w:val="26"/>
        </w:rPr>
        <w:t>Educación superior y postgrado</w:t>
      </w:r>
    </w:p>
    <w:p w:rsidR="00DD1B74" w:rsidRPr="00DD1B74" w:rsidRDefault="00DD1B74" w:rsidP="00DD1B74">
      <w:pPr>
        <w:pStyle w:val="Prrafodelista"/>
        <w:ind w:left="360"/>
      </w:pPr>
    </w:p>
    <w:p w:rsidR="00DD1B74" w:rsidRPr="00670118" w:rsidRDefault="00DD1B74" w:rsidP="00670118">
      <w:pPr>
        <w:pStyle w:val="Prrafodelista"/>
        <w:numPr>
          <w:ilvl w:val="1"/>
          <w:numId w:val="7"/>
        </w:numPr>
        <w:rPr>
          <w:b/>
        </w:rPr>
      </w:pPr>
      <w:r w:rsidRPr="00670118">
        <w:rPr>
          <w:rFonts w:ascii="Arial" w:hAnsi="Arial" w:cs="Arial"/>
          <w:b/>
          <w:sz w:val="26"/>
          <w:szCs w:val="26"/>
        </w:rPr>
        <w:t>Grupos prioritarios</w:t>
      </w:r>
    </w:p>
    <w:p w:rsidR="00DD1B74" w:rsidRPr="00670118" w:rsidRDefault="00DD1B74" w:rsidP="00670118">
      <w:pPr>
        <w:pStyle w:val="Prrafodelista"/>
        <w:numPr>
          <w:ilvl w:val="2"/>
          <w:numId w:val="7"/>
        </w:numPr>
      </w:pPr>
      <w:r w:rsidRPr="00670118">
        <w:rPr>
          <w:rFonts w:ascii="Arial" w:hAnsi="Arial" w:cs="Arial"/>
          <w:sz w:val="26"/>
          <w:szCs w:val="26"/>
        </w:rPr>
        <w:t>Niños, niñas y adolescentes</w:t>
      </w:r>
    </w:p>
    <w:p w:rsidR="00DD1B74" w:rsidRPr="00670118" w:rsidRDefault="00670118" w:rsidP="00670118">
      <w:pPr>
        <w:pStyle w:val="Prrafodelista"/>
        <w:numPr>
          <w:ilvl w:val="2"/>
          <w:numId w:val="7"/>
        </w:numPr>
      </w:pPr>
      <w:r w:rsidRPr="00670118">
        <w:rPr>
          <w:rFonts w:ascii="Arial" w:hAnsi="Arial" w:cs="Arial"/>
          <w:sz w:val="26"/>
          <w:szCs w:val="26"/>
        </w:rPr>
        <w:t>Jóvenes</w:t>
      </w:r>
    </w:p>
    <w:p w:rsidR="00DD1B74" w:rsidRPr="00670118" w:rsidRDefault="00E749E7" w:rsidP="00670118">
      <w:pPr>
        <w:pStyle w:val="Prrafodelista"/>
        <w:numPr>
          <w:ilvl w:val="2"/>
          <w:numId w:val="7"/>
        </w:numPr>
      </w:pPr>
      <w:r w:rsidRPr="00670118">
        <w:rPr>
          <w:rFonts w:ascii="Arial" w:hAnsi="Arial" w:cs="Arial"/>
          <w:sz w:val="26"/>
          <w:szCs w:val="26"/>
        </w:rPr>
        <w:t>Adultos mayores</w:t>
      </w:r>
    </w:p>
    <w:p w:rsidR="00E749E7" w:rsidRPr="00670118" w:rsidRDefault="00E749E7" w:rsidP="00670118">
      <w:pPr>
        <w:pStyle w:val="Prrafodelista"/>
        <w:numPr>
          <w:ilvl w:val="2"/>
          <w:numId w:val="7"/>
        </w:numPr>
      </w:pPr>
      <w:r w:rsidRPr="00670118">
        <w:rPr>
          <w:rFonts w:ascii="Arial" w:hAnsi="Arial" w:cs="Arial"/>
          <w:sz w:val="26"/>
          <w:szCs w:val="26"/>
        </w:rPr>
        <w:t>Personas con Discapacidad</w:t>
      </w:r>
    </w:p>
    <w:p w:rsidR="00E749E7" w:rsidRPr="00670118" w:rsidRDefault="00E749E7" w:rsidP="00670118">
      <w:pPr>
        <w:pStyle w:val="Prrafodelista"/>
        <w:numPr>
          <w:ilvl w:val="2"/>
          <w:numId w:val="7"/>
        </w:numPr>
      </w:pPr>
      <w:r w:rsidRPr="00670118">
        <w:rPr>
          <w:rFonts w:ascii="Arial" w:hAnsi="Arial" w:cs="Arial"/>
          <w:sz w:val="26"/>
          <w:szCs w:val="26"/>
        </w:rPr>
        <w:t>Pueblos y comunidades indígenas</w:t>
      </w:r>
    </w:p>
    <w:p w:rsidR="00E749E7" w:rsidRPr="00670118" w:rsidRDefault="00E749E7" w:rsidP="00670118">
      <w:pPr>
        <w:pStyle w:val="Prrafodelista"/>
        <w:numPr>
          <w:ilvl w:val="2"/>
          <w:numId w:val="7"/>
        </w:numPr>
      </w:pPr>
      <w:r w:rsidRPr="00670118">
        <w:rPr>
          <w:rFonts w:ascii="Arial" w:hAnsi="Arial" w:cs="Arial"/>
          <w:sz w:val="26"/>
          <w:szCs w:val="26"/>
        </w:rPr>
        <w:t>Migrantes</w:t>
      </w:r>
    </w:p>
    <w:p w:rsidR="00E749E7" w:rsidRPr="00DD1B74" w:rsidRDefault="00E749E7" w:rsidP="00E749E7">
      <w:pPr>
        <w:pStyle w:val="Prrafodelista"/>
        <w:ind w:left="360"/>
        <w:rPr>
          <w:b/>
        </w:rPr>
      </w:pPr>
    </w:p>
    <w:p w:rsidR="00DD1B74" w:rsidRPr="00DD1B74" w:rsidRDefault="00DD1B74" w:rsidP="00DD1B74">
      <w:pPr>
        <w:pStyle w:val="Prrafodelista"/>
        <w:ind w:left="360"/>
        <w:rPr>
          <w:b/>
        </w:rPr>
      </w:pPr>
    </w:p>
    <w:p w:rsidR="00DD1B74" w:rsidRPr="004D35F5" w:rsidRDefault="00DD1B74" w:rsidP="00DD1B74">
      <w:pPr>
        <w:pStyle w:val="Prrafodelista"/>
        <w:ind w:left="360"/>
      </w:pPr>
    </w:p>
    <w:p w:rsidR="004D35F5" w:rsidRPr="004D35F5" w:rsidRDefault="004D35F5" w:rsidP="004D35F5">
      <w:pPr>
        <w:pStyle w:val="Prrafodelista"/>
        <w:ind w:left="360"/>
      </w:pPr>
    </w:p>
    <w:p w:rsidR="004D35F5" w:rsidRPr="004D35F5" w:rsidRDefault="004D35F5" w:rsidP="004D35F5">
      <w:pPr>
        <w:pStyle w:val="Prrafodelista"/>
        <w:ind w:left="360"/>
      </w:pPr>
    </w:p>
    <w:p w:rsidR="004D35F5" w:rsidRDefault="00644E1A" w:rsidP="00670118">
      <w:pPr>
        <w:pStyle w:val="Prrafodelista"/>
        <w:ind w:left="630"/>
      </w:pPr>
      <w:r>
        <w:t>2.1. BIENESTAR SOCIAL</w:t>
      </w:r>
    </w:p>
    <w:p w:rsidR="00827CCC" w:rsidRDefault="00827CCC" w:rsidP="00827CCC">
      <w:pPr>
        <w:autoSpaceDE w:val="0"/>
        <w:autoSpaceDN w:val="0"/>
        <w:adjustRightInd w:val="0"/>
        <w:spacing w:after="0" w:line="240" w:lineRule="auto"/>
      </w:pPr>
      <w:r>
        <w:rPr>
          <w:rFonts w:ascii="Intro-Book" w:hAnsi="Intro-Book" w:cs="Intro-Book"/>
          <w:color w:val="242021"/>
          <w:sz w:val="20"/>
          <w:szCs w:val="20"/>
        </w:rPr>
        <w:t>El Estado debe proveer a los ciudadanos las condiciones necesarias para alcanzar su pleno desarrollo, en este sentido debe asegurar las condiciones para un desarrollo social, económico y cultural. El bienestar social tiene que ver con las condiciones para un desarrollo armónico de las personas, la familia y la comunidad.</w:t>
      </w:r>
    </w:p>
    <w:p w:rsidR="00827CCC" w:rsidRDefault="00827CCC" w:rsidP="00670118">
      <w:pPr>
        <w:pStyle w:val="Prrafodelista"/>
        <w:ind w:left="630"/>
      </w:pPr>
      <w:r>
        <w:t xml:space="preserve">2.1.1. EL BIENESTAR SOCIAL </w:t>
      </w:r>
    </w:p>
    <w:p w:rsidR="00827CCC" w:rsidRDefault="00827CCC" w:rsidP="00827CCC">
      <w:pPr>
        <w:autoSpaceDE w:val="0"/>
        <w:autoSpaceDN w:val="0"/>
        <w:adjustRightInd w:val="0"/>
        <w:spacing w:after="0" w:line="240" w:lineRule="auto"/>
        <w:jc w:val="both"/>
        <w:rPr>
          <w:rFonts w:ascii="Intro-Book" w:hAnsi="Intro-Book" w:cs="Intro-Book"/>
          <w:color w:val="242021"/>
          <w:sz w:val="20"/>
          <w:szCs w:val="20"/>
        </w:rPr>
      </w:pPr>
      <w:r>
        <w:rPr>
          <w:rFonts w:ascii="Intro-Book" w:hAnsi="Intro-Book" w:cs="Intro-Book"/>
          <w:color w:val="242021"/>
          <w:sz w:val="20"/>
          <w:szCs w:val="20"/>
        </w:rPr>
        <w:t xml:space="preserve">El concepto de “desarrollo social” es tan amplio como la </w:t>
      </w:r>
      <w:proofErr w:type="spellStart"/>
      <w:r>
        <w:rPr>
          <w:rFonts w:ascii="Intro-Book" w:hAnsi="Intro-Book" w:cs="Intro-Book"/>
          <w:color w:val="242021"/>
          <w:sz w:val="20"/>
          <w:szCs w:val="20"/>
        </w:rPr>
        <w:t>multidimensionalidad</w:t>
      </w:r>
      <w:proofErr w:type="spellEnd"/>
      <w:r>
        <w:rPr>
          <w:rFonts w:ascii="Intro-Book" w:hAnsi="Intro-Book" w:cs="Intro-Book"/>
          <w:color w:val="242021"/>
          <w:sz w:val="20"/>
          <w:szCs w:val="20"/>
        </w:rPr>
        <w:t xml:space="preserve"> y transversalidad de los factores que lo fomentan, es así, que en el estado de Guanajuato se entiende y promueve el desarrollo social como: “El proceso de crecimiento integral, para el mejoramiento de las Condiciones de vida de la población, con el fin de lograr su incorporación plena a la vida económica, social, cultural y política del estado”.</w:t>
      </w:r>
    </w:p>
    <w:p w:rsidR="00827CCC" w:rsidRDefault="00827CCC" w:rsidP="00827CCC">
      <w:pPr>
        <w:autoSpaceDE w:val="0"/>
        <w:autoSpaceDN w:val="0"/>
        <w:adjustRightInd w:val="0"/>
        <w:spacing w:after="0" w:line="240" w:lineRule="auto"/>
        <w:jc w:val="both"/>
        <w:rPr>
          <w:rFonts w:ascii="Intro-Book" w:hAnsi="Intro-Book" w:cs="Intro-Book"/>
          <w:color w:val="242021"/>
          <w:sz w:val="20"/>
          <w:szCs w:val="20"/>
        </w:rPr>
      </w:pPr>
    </w:p>
    <w:p w:rsidR="00827CCC" w:rsidRDefault="00827CCC" w:rsidP="00827CCC">
      <w:pPr>
        <w:autoSpaceDE w:val="0"/>
        <w:autoSpaceDN w:val="0"/>
        <w:adjustRightInd w:val="0"/>
        <w:spacing w:after="0" w:line="240" w:lineRule="auto"/>
        <w:jc w:val="both"/>
      </w:pPr>
      <w:r>
        <w:rPr>
          <w:rFonts w:ascii="Intro-Book" w:hAnsi="Intro-Book" w:cs="Intro-Book"/>
          <w:color w:val="24408F"/>
          <w:sz w:val="24"/>
          <w:szCs w:val="24"/>
        </w:rPr>
        <w:t>2.1.1.1. Situación actual del bienestar social</w:t>
      </w:r>
    </w:p>
    <w:p w:rsidR="004D35F5" w:rsidRPr="003F6551" w:rsidRDefault="00644E1A" w:rsidP="004D35F5">
      <w:pPr>
        <w:pStyle w:val="Prrafodelista"/>
        <w:ind w:left="360"/>
        <w:rPr>
          <w:rFonts w:ascii="Arial" w:hAnsi="Arial" w:cs="Arial"/>
          <w:color w:val="FF0000"/>
          <w:sz w:val="26"/>
          <w:szCs w:val="26"/>
        </w:rPr>
      </w:pPr>
      <w:r w:rsidRPr="003F6551">
        <w:rPr>
          <w:rFonts w:ascii="Arial" w:hAnsi="Arial" w:cs="Arial"/>
          <w:color w:val="FF0000"/>
          <w:sz w:val="26"/>
          <w:szCs w:val="26"/>
        </w:rPr>
        <w:t>Pobreza y calidad de vida</w:t>
      </w:r>
    </w:p>
    <w:p w:rsidR="00644E1A" w:rsidRDefault="00A931C9" w:rsidP="003F6551">
      <w:pPr>
        <w:pStyle w:val="Prrafodelista"/>
        <w:ind w:left="360"/>
        <w:jc w:val="both"/>
        <w:rPr>
          <w:rFonts w:ascii="Arial" w:hAnsi="Arial" w:cs="Arial"/>
          <w:sz w:val="26"/>
          <w:szCs w:val="26"/>
        </w:rPr>
      </w:pPr>
      <w:r>
        <w:rPr>
          <w:rFonts w:ascii="Arial" w:hAnsi="Arial" w:cs="Arial"/>
          <w:sz w:val="25"/>
          <w:szCs w:val="25"/>
        </w:rPr>
        <w:t>El desarrollo social se concentra en la necesidad de “poner a</w:t>
      </w:r>
      <w:r w:rsidR="003F6551">
        <w:rPr>
          <w:rFonts w:ascii="Arial" w:hAnsi="Arial" w:cs="Arial"/>
          <w:sz w:val="25"/>
          <w:szCs w:val="25"/>
        </w:rPr>
        <w:t xml:space="preserve"> </w:t>
      </w:r>
      <w:r>
        <w:rPr>
          <w:rFonts w:ascii="Arial" w:hAnsi="Arial" w:cs="Arial"/>
          <w:sz w:val="25"/>
          <w:szCs w:val="25"/>
        </w:rPr>
        <w:t>las personas en primer lugar” en los procesos de desarrollo,</w:t>
      </w:r>
      <w:r w:rsidR="003F6551">
        <w:rPr>
          <w:rFonts w:ascii="Arial" w:hAnsi="Arial" w:cs="Arial"/>
          <w:sz w:val="25"/>
          <w:szCs w:val="25"/>
        </w:rPr>
        <w:t xml:space="preserve"> </w:t>
      </w:r>
      <w:r>
        <w:rPr>
          <w:rFonts w:ascii="Arial" w:hAnsi="Arial" w:cs="Arial"/>
          <w:sz w:val="25"/>
          <w:szCs w:val="25"/>
        </w:rPr>
        <w:t>pues éste impulsa la inclusión, la cohesión, la capacidad de adaptación, la seguridad ciudadana y la rendición de cuentas como los principios operacionales que definen un desarrollo socialmente sostenible</w:t>
      </w:r>
    </w:p>
    <w:p w:rsidR="00644E1A" w:rsidRDefault="00644E1A" w:rsidP="003F6551">
      <w:pPr>
        <w:pStyle w:val="Prrafodelista"/>
        <w:ind w:left="360"/>
        <w:jc w:val="both"/>
        <w:rPr>
          <w:rFonts w:ascii="Arial" w:hAnsi="Arial" w:cs="Arial"/>
          <w:sz w:val="26"/>
          <w:szCs w:val="26"/>
        </w:rPr>
      </w:pPr>
      <w:r>
        <w:rPr>
          <w:rFonts w:ascii="Arial" w:hAnsi="Arial" w:cs="Arial"/>
          <w:sz w:val="26"/>
          <w:szCs w:val="26"/>
        </w:rPr>
        <w:t>Bienestar social</w:t>
      </w:r>
    </w:p>
    <w:p w:rsidR="00644E1A" w:rsidRDefault="00A931C9" w:rsidP="003F6551">
      <w:pPr>
        <w:pStyle w:val="Prrafodelista"/>
        <w:ind w:left="360"/>
        <w:jc w:val="both"/>
        <w:rPr>
          <w:rFonts w:ascii="Arial" w:hAnsi="Arial" w:cs="Arial"/>
          <w:sz w:val="25"/>
          <w:szCs w:val="25"/>
        </w:rPr>
      </w:pPr>
      <w:r>
        <w:rPr>
          <w:rFonts w:ascii="Arial" w:hAnsi="Arial" w:cs="Arial"/>
          <w:sz w:val="25"/>
          <w:szCs w:val="25"/>
        </w:rPr>
        <w:t>En el año 2015</w:t>
      </w:r>
      <w:proofErr w:type="gramStart"/>
      <w:r>
        <w:rPr>
          <w:rFonts w:ascii="Arial" w:hAnsi="Arial" w:cs="Arial"/>
          <w:sz w:val="25"/>
          <w:szCs w:val="25"/>
        </w:rPr>
        <w:t>,</w:t>
      </w:r>
      <w:r w:rsidR="00097E8A">
        <w:rPr>
          <w:rFonts w:ascii="Arial" w:hAnsi="Arial" w:cs="Arial"/>
          <w:sz w:val="25"/>
          <w:szCs w:val="25"/>
        </w:rPr>
        <w:t>la</w:t>
      </w:r>
      <w:proofErr w:type="gramEnd"/>
      <w:r w:rsidR="00097E8A">
        <w:rPr>
          <w:rFonts w:ascii="Arial" w:hAnsi="Arial" w:cs="Arial"/>
          <w:sz w:val="25"/>
          <w:szCs w:val="25"/>
        </w:rPr>
        <w:t xml:space="preserve"> </w:t>
      </w:r>
      <w:r>
        <w:rPr>
          <w:rFonts w:ascii="Arial" w:hAnsi="Arial" w:cs="Arial"/>
          <w:sz w:val="25"/>
          <w:szCs w:val="25"/>
        </w:rPr>
        <w:t xml:space="preserve">organización </w:t>
      </w:r>
      <w:r w:rsidR="00097E8A">
        <w:rPr>
          <w:rFonts w:ascii="Arial" w:hAnsi="Arial" w:cs="Arial"/>
          <w:sz w:val="25"/>
          <w:szCs w:val="25"/>
        </w:rPr>
        <w:t xml:space="preserve">OCDE (organización para la cooperación y el desarrollo </w:t>
      </w:r>
      <w:proofErr w:type="spellStart"/>
      <w:r w:rsidR="00097E8A">
        <w:rPr>
          <w:rFonts w:ascii="Arial" w:hAnsi="Arial" w:cs="Arial"/>
          <w:sz w:val="25"/>
          <w:szCs w:val="25"/>
        </w:rPr>
        <w:t>Economico</w:t>
      </w:r>
      <w:proofErr w:type="spellEnd"/>
      <w:r w:rsidR="00097E8A">
        <w:rPr>
          <w:rFonts w:ascii="Arial" w:hAnsi="Arial" w:cs="Arial"/>
          <w:sz w:val="25"/>
          <w:szCs w:val="25"/>
        </w:rPr>
        <w:t xml:space="preserve">) </w:t>
      </w:r>
      <w:r>
        <w:rPr>
          <w:rFonts w:ascii="Arial" w:hAnsi="Arial" w:cs="Arial"/>
          <w:sz w:val="25"/>
          <w:szCs w:val="25"/>
        </w:rPr>
        <w:t xml:space="preserve">publicó el </w:t>
      </w:r>
      <w:proofErr w:type="spellStart"/>
      <w:r>
        <w:rPr>
          <w:rFonts w:ascii="Arial" w:hAnsi="Arial" w:cs="Arial"/>
          <w:sz w:val="25"/>
          <w:szCs w:val="25"/>
        </w:rPr>
        <w:t>cuadernillo“Midiendo</w:t>
      </w:r>
      <w:proofErr w:type="spellEnd"/>
      <w:r>
        <w:rPr>
          <w:rFonts w:ascii="Arial" w:hAnsi="Arial" w:cs="Arial"/>
          <w:sz w:val="25"/>
          <w:szCs w:val="25"/>
        </w:rPr>
        <w:t xml:space="preserve"> el bienestar en los estados mexicanos”, donde señala que el desempeño de Guanajuato es superior al del promedio nacional en seis de las 12 dimensiones, aun</w:t>
      </w:r>
      <w:r w:rsidR="003F6551">
        <w:rPr>
          <w:rFonts w:ascii="Arial" w:hAnsi="Arial" w:cs="Arial"/>
          <w:sz w:val="25"/>
          <w:szCs w:val="25"/>
        </w:rPr>
        <w:t xml:space="preserve"> </w:t>
      </w:r>
      <w:r>
        <w:rPr>
          <w:rFonts w:ascii="Arial" w:hAnsi="Arial" w:cs="Arial"/>
          <w:sz w:val="25"/>
          <w:szCs w:val="25"/>
        </w:rPr>
        <w:t>cuando</w:t>
      </w:r>
      <w:r w:rsidR="003F6551">
        <w:rPr>
          <w:rFonts w:ascii="Arial" w:hAnsi="Arial" w:cs="Arial"/>
          <w:sz w:val="25"/>
          <w:szCs w:val="25"/>
        </w:rPr>
        <w:t xml:space="preserve"> </w:t>
      </w:r>
      <w:r>
        <w:rPr>
          <w:rFonts w:ascii="Arial" w:hAnsi="Arial" w:cs="Arial"/>
          <w:sz w:val="25"/>
          <w:szCs w:val="25"/>
        </w:rPr>
        <w:t>las diferencias son mínimas. Estas dimensiones son:</w:t>
      </w:r>
      <w:r w:rsidR="003F6551">
        <w:rPr>
          <w:rFonts w:ascii="Arial" w:hAnsi="Arial" w:cs="Arial"/>
          <w:sz w:val="25"/>
          <w:szCs w:val="25"/>
        </w:rPr>
        <w:t xml:space="preserve"> </w:t>
      </w:r>
      <w:r>
        <w:rPr>
          <w:rFonts w:ascii="Arial" w:hAnsi="Arial" w:cs="Arial"/>
          <w:sz w:val="25"/>
          <w:szCs w:val="25"/>
        </w:rPr>
        <w:t>vivienda, ingresos, empleo, accesibilidad a servicios, salud y seguridad. El deficiente desempeño en la dimensión de compromiso cívico y gobernanza, donde el estado clasifica en la posición 31, se debe a un relativamente bajo índice de participación cívica y política, 11 puntos porcentuales por debajo del promedio nacional, ocupando la posición 32 de la clasificación estatal, y también a un nivel bajo de confianza en la aplicación de la ley, ya que tan sólo 4%de los habitantes de Guanajuato percibe que los delincuentes son siempre castigados, lo que lo coloca en la posición 28 en la clasificación estatal.</w:t>
      </w:r>
    </w:p>
    <w:p w:rsidR="008861E6" w:rsidRDefault="008861E6" w:rsidP="003F6551">
      <w:pPr>
        <w:pStyle w:val="Prrafodelista"/>
        <w:ind w:left="360"/>
        <w:jc w:val="both"/>
        <w:rPr>
          <w:rFonts w:ascii="Arial" w:hAnsi="Arial" w:cs="Arial"/>
          <w:sz w:val="25"/>
          <w:szCs w:val="25"/>
        </w:rPr>
      </w:pPr>
    </w:p>
    <w:p w:rsidR="008861E6" w:rsidRDefault="008861E6" w:rsidP="003F6551">
      <w:pPr>
        <w:pStyle w:val="Prrafodelista"/>
        <w:ind w:left="360"/>
        <w:jc w:val="both"/>
        <w:rPr>
          <w:rFonts w:ascii="Arial" w:hAnsi="Arial" w:cs="Arial"/>
          <w:sz w:val="25"/>
          <w:szCs w:val="25"/>
        </w:rPr>
      </w:pPr>
      <w:r>
        <w:rPr>
          <w:noProof/>
          <w:lang w:eastAsia="es-MX"/>
        </w:rPr>
        <w:lastRenderedPageBreak/>
        <w:drawing>
          <wp:inline distT="0" distB="0" distL="0" distR="0" wp14:anchorId="4440F19B" wp14:editId="0A81AAE4">
            <wp:extent cx="4867275" cy="365519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096" t="16314" r="25232" b="25378"/>
                    <a:stretch/>
                  </pic:blipFill>
                  <pic:spPr bwMode="auto">
                    <a:xfrm>
                      <a:off x="0" y="0"/>
                      <a:ext cx="4873158" cy="3659609"/>
                    </a:xfrm>
                    <a:prstGeom prst="rect">
                      <a:avLst/>
                    </a:prstGeom>
                    <a:ln>
                      <a:noFill/>
                    </a:ln>
                    <a:extLst>
                      <a:ext uri="{53640926-AAD7-44D8-BBD7-CCE9431645EC}">
                        <a14:shadowObscured xmlns:a14="http://schemas.microsoft.com/office/drawing/2010/main"/>
                      </a:ext>
                    </a:extLst>
                  </pic:spPr>
                </pic:pic>
              </a:graphicData>
            </a:graphic>
          </wp:inline>
        </w:drawing>
      </w:r>
    </w:p>
    <w:p w:rsidR="008861E6" w:rsidRDefault="008861E6" w:rsidP="003F6551">
      <w:pPr>
        <w:pStyle w:val="Prrafodelista"/>
        <w:ind w:left="360"/>
        <w:jc w:val="both"/>
        <w:rPr>
          <w:rFonts w:ascii="Arial" w:hAnsi="Arial" w:cs="Arial"/>
          <w:sz w:val="25"/>
          <w:szCs w:val="25"/>
        </w:rPr>
      </w:pPr>
    </w:p>
    <w:p w:rsidR="008861E6" w:rsidRDefault="008861E6" w:rsidP="003F6551">
      <w:pPr>
        <w:pStyle w:val="Prrafodelista"/>
        <w:ind w:left="360"/>
        <w:jc w:val="both"/>
        <w:rPr>
          <w:rFonts w:ascii="Arial" w:hAnsi="Arial" w:cs="Arial"/>
          <w:sz w:val="25"/>
          <w:szCs w:val="25"/>
        </w:rPr>
      </w:pPr>
    </w:p>
    <w:p w:rsidR="008861E6" w:rsidRDefault="008861E6" w:rsidP="003F6551">
      <w:pPr>
        <w:pStyle w:val="Prrafodelista"/>
        <w:ind w:left="360"/>
        <w:jc w:val="both"/>
        <w:rPr>
          <w:rFonts w:ascii="Arial" w:hAnsi="Arial" w:cs="Arial"/>
          <w:sz w:val="25"/>
          <w:szCs w:val="25"/>
        </w:rPr>
      </w:pPr>
    </w:p>
    <w:p w:rsidR="008861E6" w:rsidRDefault="008861E6" w:rsidP="003F6551">
      <w:pPr>
        <w:pStyle w:val="Prrafodelista"/>
        <w:ind w:left="360"/>
        <w:jc w:val="both"/>
        <w:rPr>
          <w:rFonts w:ascii="Arial" w:hAnsi="Arial" w:cs="Arial"/>
          <w:sz w:val="25"/>
          <w:szCs w:val="25"/>
        </w:rPr>
      </w:pPr>
      <w:r>
        <w:rPr>
          <w:noProof/>
          <w:lang w:eastAsia="es-MX"/>
        </w:rPr>
        <w:drawing>
          <wp:inline distT="0" distB="0" distL="0" distR="0" wp14:anchorId="6AA3AB40" wp14:editId="23EDB375">
            <wp:extent cx="4619625" cy="247424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581" t="31420" r="28290" b="20846"/>
                    <a:stretch/>
                  </pic:blipFill>
                  <pic:spPr bwMode="auto">
                    <a:xfrm>
                      <a:off x="0" y="0"/>
                      <a:ext cx="4625210" cy="2477231"/>
                    </a:xfrm>
                    <a:prstGeom prst="rect">
                      <a:avLst/>
                    </a:prstGeom>
                    <a:ln>
                      <a:noFill/>
                    </a:ln>
                    <a:extLst>
                      <a:ext uri="{53640926-AAD7-44D8-BBD7-CCE9431645EC}">
                        <a14:shadowObscured xmlns:a14="http://schemas.microsoft.com/office/drawing/2010/main"/>
                      </a:ext>
                    </a:extLst>
                  </pic:spPr>
                </pic:pic>
              </a:graphicData>
            </a:graphic>
          </wp:inline>
        </w:drawing>
      </w:r>
    </w:p>
    <w:p w:rsidR="008861E6" w:rsidRDefault="008861E6" w:rsidP="003F6551">
      <w:pPr>
        <w:pStyle w:val="Prrafodelista"/>
        <w:ind w:left="360"/>
        <w:jc w:val="both"/>
        <w:rPr>
          <w:rFonts w:ascii="Arial" w:hAnsi="Arial" w:cs="Arial"/>
          <w:sz w:val="25"/>
          <w:szCs w:val="25"/>
        </w:rPr>
      </w:pPr>
    </w:p>
    <w:p w:rsidR="00A931C9" w:rsidRDefault="00A931C9" w:rsidP="003F6551">
      <w:pPr>
        <w:pStyle w:val="Prrafodelista"/>
        <w:ind w:left="360"/>
        <w:jc w:val="both"/>
        <w:rPr>
          <w:rFonts w:ascii="Arial" w:hAnsi="Arial" w:cs="Arial"/>
          <w:sz w:val="25"/>
          <w:szCs w:val="25"/>
        </w:rPr>
      </w:pPr>
    </w:p>
    <w:p w:rsidR="00A931C9" w:rsidRDefault="003F6551" w:rsidP="004D35F5">
      <w:pPr>
        <w:pStyle w:val="Prrafodelista"/>
        <w:ind w:left="360"/>
        <w:rPr>
          <w:rFonts w:ascii="Arial" w:hAnsi="Arial" w:cs="Arial"/>
          <w:color w:val="FF0000"/>
          <w:sz w:val="26"/>
          <w:szCs w:val="26"/>
        </w:rPr>
      </w:pPr>
      <w:r w:rsidRPr="003F6551">
        <w:rPr>
          <w:rFonts w:ascii="Arial" w:hAnsi="Arial" w:cs="Arial"/>
          <w:color w:val="FF0000"/>
          <w:sz w:val="26"/>
          <w:szCs w:val="26"/>
        </w:rPr>
        <w:t>Factores de inclusión y pobreza</w:t>
      </w:r>
    </w:p>
    <w:p w:rsidR="003F6551" w:rsidRDefault="003F6551" w:rsidP="004D35F5">
      <w:pPr>
        <w:pStyle w:val="Prrafodelista"/>
        <w:ind w:left="360"/>
        <w:rPr>
          <w:rFonts w:ascii="Arial" w:hAnsi="Arial" w:cs="Arial"/>
          <w:color w:val="FF0000"/>
          <w:sz w:val="25"/>
          <w:szCs w:val="25"/>
        </w:rPr>
      </w:pPr>
    </w:p>
    <w:p w:rsidR="00097E8A" w:rsidRDefault="00097E8A" w:rsidP="004D35F5">
      <w:pPr>
        <w:pStyle w:val="Prrafodelista"/>
        <w:ind w:left="360"/>
        <w:rPr>
          <w:rFonts w:ascii="Arial" w:hAnsi="Arial" w:cs="Arial"/>
          <w:color w:val="FF0000"/>
          <w:sz w:val="25"/>
          <w:szCs w:val="25"/>
        </w:rPr>
      </w:pPr>
      <w:r>
        <w:rPr>
          <w:rFonts w:ascii="Arial" w:hAnsi="Arial" w:cs="Arial"/>
          <w:color w:val="FF0000"/>
          <w:sz w:val="25"/>
          <w:szCs w:val="25"/>
        </w:rPr>
        <w:t>Ingresos</w:t>
      </w:r>
    </w:p>
    <w:p w:rsidR="008861E6" w:rsidRDefault="008861E6" w:rsidP="004D35F5">
      <w:pPr>
        <w:pStyle w:val="Prrafodelista"/>
        <w:ind w:left="360"/>
        <w:rPr>
          <w:rFonts w:ascii="Arial" w:hAnsi="Arial" w:cs="Arial"/>
          <w:sz w:val="25"/>
          <w:szCs w:val="25"/>
        </w:rPr>
      </w:pPr>
    </w:p>
    <w:p w:rsidR="00097E8A" w:rsidRDefault="00097E8A" w:rsidP="004D35F5">
      <w:pPr>
        <w:pStyle w:val="Prrafodelista"/>
        <w:ind w:left="360"/>
        <w:rPr>
          <w:rFonts w:ascii="Arial" w:hAnsi="Arial" w:cs="Arial"/>
          <w:sz w:val="25"/>
          <w:szCs w:val="25"/>
        </w:rPr>
      </w:pPr>
      <w:r>
        <w:rPr>
          <w:rFonts w:ascii="Arial" w:hAnsi="Arial" w:cs="Arial"/>
          <w:sz w:val="25"/>
          <w:szCs w:val="25"/>
        </w:rPr>
        <w:lastRenderedPageBreak/>
        <w:t xml:space="preserve">El ingreso sigue siendo sin duda una variable importante, aunque no exclusiva, para medir el desarrollo social ya que éste permite acceder a la satisfacción de necesidades básicas. En México, el Instituto Nacional de Estadística y Geografía, </w:t>
      </w:r>
      <w:proofErr w:type="spellStart"/>
      <w:r>
        <w:rPr>
          <w:rFonts w:ascii="Arial" w:hAnsi="Arial" w:cs="Arial"/>
          <w:sz w:val="25"/>
          <w:szCs w:val="25"/>
        </w:rPr>
        <w:t>Inegi</w:t>
      </w:r>
      <w:proofErr w:type="spellEnd"/>
      <w:r>
        <w:rPr>
          <w:rFonts w:ascii="Arial" w:hAnsi="Arial" w:cs="Arial"/>
          <w:sz w:val="25"/>
          <w:szCs w:val="25"/>
        </w:rPr>
        <w:t xml:space="preserve">, por medio de la Encuesta Nacional de Ingresos y Gastos de los Hogares, ENIGH, hace la medición y seguimiento del comportamiento </w:t>
      </w:r>
      <w:proofErr w:type="spellStart"/>
      <w:r>
        <w:rPr>
          <w:rFonts w:ascii="Arial" w:hAnsi="Arial" w:cs="Arial"/>
          <w:sz w:val="25"/>
          <w:szCs w:val="25"/>
        </w:rPr>
        <w:t>deeste</w:t>
      </w:r>
      <w:proofErr w:type="spellEnd"/>
      <w:r>
        <w:rPr>
          <w:rFonts w:ascii="Arial" w:hAnsi="Arial" w:cs="Arial"/>
          <w:sz w:val="25"/>
          <w:szCs w:val="25"/>
        </w:rPr>
        <w:t xml:space="preserve"> indicador en el país, en cuanto a su monto, procedencia y distribución</w:t>
      </w:r>
      <w:r w:rsidR="00E94A79">
        <w:rPr>
          <w:rFonts w:ascii="Arial" w:hAnsi="Arial" w:cs="Arial"/>
          <w:sz w:val="25"/>
          <w:szCs w:val="25"/>
        </w:rPr>
        <w:t>.</w:t>
      </w:r>
    </w:p>
    <w:p w:rsidR="00E94A79" w:rsidRDefault="00E94A79" w:rsidP="004D35F5">
      <w:pPr>
        <w:pStyle w:val="Prrafodelista"/>
        <w:ind w:left="360"/>
        <w:rPr>
          <w:rFonts w:ascii="Arial" w:hAnsi="Arial" w:cs="Arial"/>
          <w:sz w:val="25"/>
          <w:szCs w:val="25"/>
        </w:rPr>
      </w:pPr>
      <w:r>
        <w:rPr>
          <w:rFonts w:ascii="Arial" w:hAnsi="Arial" w:cs="Arial"/>
          <w:sz w:val="55"/>
          <w:szCs w:val="55"/>
        </w:rPr>
        <w:t>Entre 2014 y 2016 el ingreso trimestral de los guanajuatenses se incrementó en 14 mil 486 pesos</w:t>
      </w:r>
    </w:p>
    <w:p w:rsidR="008861E6" w:rsidRPr="003F6551" w:rsidRDefault="008861E6" w:rsidP="004D35F5">
      <w:pPr>
        <w:pStyle w:val="Prrafodelista"/>
        <w:ind w:left="360"/>
        <w:rPr>
          <w:rFonts w:ascii="Arial" w:hAnsi="Arial" w:cs="Arial"/>
          <w:color w:val="FF0000"/>
          <w:sz w:val="25"/>
          <w:szCs w:val="25"/>
        </w:rPr>
      </w:pPr>
    </w:p>
    <w:p w:rsidR="00A931C9" w:rsidRDefault="008861E6" w:rsidP="004D35F5">
      <w:pPr>
        <w:pStyle w:val="Prrafodelista"/>
        <w:ind w:left="360"/>
        <w:rPr>
          <w:rFonts w:ascii="Arial" w:hAnsi="Arial" w:cs="Arial"/>
          <w:sz w:val="25"/>
          <w:szCs w:val="25"/>
        </w:rPr>
      </w:pPr>
      <w:r>
        <w:rPr>
          <w:rFonts w:ascii="Arial" w:hAnsi="Arial" w:cs="Arial"/>
          <w:sz w:val="25"/>
          <w:szCs w:val="25"/>
        </w:rPr>
        <w:t>La más reciente publicación de la ENIGH2016</w:t>
      </w:r>
    </w:p>
    <w:p w:rsidR="00C5034C" w:rsidRDefault="00C5034C" w:rsidP="004D35F5">
      <w:pPr>
        <w:pStyle w:val="Prrafodelista"/>
        <w:ind w:left="360"/>
      </w:pPr>
      <w:r>
        <w:rPr>
          <w:noProof/>
          <w:lang w:eastAsia="es-MX"/>
        </w:rPr>
        <w:drawing>
          <wp:inline distT="0" distB="0" distL="0" distR="0" wp14:anchorId="2D67007A" wp14:editId="0F4F3A3B">
            <wp:extent cx="4981575" cy="2600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772" t="22055" r="20644" b="7855"/>
                    <a:stretch/>
                  </pic:blipFill>
                  <pic:spPr bwMode="auto">
                    <a:xfrm>
                      <a:off x="0" y="0"/>
                      <a:ext cx="4987597" cy="2603468"/>
                    </a:xfrm>
                    <a:prstGeom prst="rect">
                      <a:avLst/>
                    </a:prstGeom>
                    <a:ln>
                      <a:noFill/>
                    </a:ln>
                    <a:extLst>
                      <a:ext uri="{53640926-AAD7-44D8-BBD7-CCE9431645EC}">
                        <a14:shadowObscured xmlns:a14="http://schemas.microsoft.com/office/drawing/2010/main"/>
                      </a:ext>
                    </a:extLst>
                  </pic:spPr>
                </pic:pic>
              </a:graphicData>
            </a:graphic>
          </wp:inline>
        </w:drawing>
      </w:r>
    </w:p>
    <w:p w:rsidR="0008779F" w:rsidRDefault="0008779F" w:rsidP="004D35F5">
      <w:pPr>
        <w:pStyle w:val="Prrafodelista"/>
        <w:ind w:left="360"/>
      </w:pPr>
    </w:p>
    <w:p w:rsidR="0008779F" w:rsidRDefault="0008779F" w:rsidP="004D35F5">
      <w:pPr>
        <w:pStyle w:val="Prrafodelista"/>
        <w:ind w:left="360"/>
      </w:pP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El ITLP muestra una tendencia positiva a la baja para Guanajuato, incluso significativamente menor que la</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t>mostrada</w:t>
      </w:r>
      <w:proofErr w:type="gramEnd"/>
      <w:r>
        <w:rPr>
          <w:rFonts w:ascii="Intro-Book" w:hAnsi="Intro-Book" w:cs="Intro-Book"/>
          <w:color w:val="242021"/>
          <w:sz w:val="20"/>
          <w:szCs w:val="20"/>
        </w:rPr>
        <w:t xml:space="preserve"> en el ámbito nacional. El crecimiento respecto del primer trimestre de 2014 al cuarto trimestre de</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2016 presenta una variación de -9.6% para Guanajuato, mientras que la variación para este mismo periodo a</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t>nivel</w:t>
      </w:r>
      <w:proofErr w:type="gramEnd"/>
      <w:r>
        <w:rPr>
          <w:rFonts w:ascii="Intro-Book" w:hAnsi="Intro-Book" w:cs="Intro-Book"/>
          <w:color w:val="242021"/>
          <w:sz w:val="20"/>
          <w:szCs w:val="20"/>
        </w:rPr>
        <w:t xml:space="preserve"> nacional se calcula en -4.9%.</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En la última medición disponible, Guanajuato reporta un ITLP de 0.8081 al segundo trimestre de 2017, mismo</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lastRenderedPageBreak/>
        <w:t>índice</w:t>
      </w:r>
      <w:proofErr w:type="gramEnd"/>
      <w:r>
        <w:rPr>
          <w:rFonts w:ascii="Intro-Book" w:hAnsi="Intro-Book" w:cs="Intro-Book"/>
          <w:color w:val="242021"/>
          <w:sz w:val="20"/>
          <w:szCs w:val="20"/>
        </w:rPr>
        <w:t xml:space="preserve"> que al segundo trimestre del año anterior se calculaba con un valor de 0.8559, esta reducción de 5.6%,</w:t>
      </w:r>
    </w:p>
    <w:p w:rsidR="00A931C9" w:rsidRDefault="0008779F" w:rsidP="0008779F">
      <w:pPr>
        <w:pStyle w:val="Prrafodelista"/>
        <w:ind w:left="360"/>
      </w:pPr>
      <w:proofErr w:type="gramStart"/>
      <w:r>
        <w:rPr>
          <w:rFonts w:ascii="Intro-Book" w:hAnsi="Intro-Book" w:cs="Intro-Book"/>
          <w:color w:val="242021"/>
          <w:sz w:val="20"/>
          <w:szCs w:val="20"/>
        </w:rPr>
        <w:t>implica</w:t>
      </w:r>
      <w:proofErr w:type="gramEnd"/>
      <w:r>
        <w:rPr>
          <w:rFonts w:ascii="Intro-Book" w:hAnsi="Intro-Book" w:cs="Intro-Book"/>
          <w:color w:val="242021"/>
          <w:sz w:val="20"/>
          <w:szCs w:val="20"/>
        </w:rPr>
        <w:t xml:space="preserve"> que los ingresos laborales de las personas son mayores al valor de la canasta alimentaria.</w:t>
      </w:r>
    </w:p>
    <w:p w:rsidR="0008779F" w:rsidRDefault="0008779F" w:rsidP="004D35F5">
      <w:pPr>
        <w:pStyle w:val="Prrafodelista"/>
        <w:ind w:left="360"/>
      </w:pPr>
      <w:r>
        <w:rPr>
          <w:noProof/>
          <w:lang w:eastAsia="es-MX"/>
        </w:rPr>
        <w:drawing>
          <wp:inline distT="0" distB="0" distL="0" distR="0" wp14:anchorId="64D6DE20" wp14:editId="7311FC0F">
            <wp:extent cx="4886325" cy="3143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240" t="15105" r="20985" b="33536"/>
                    <a:stretch/>
                  </pic:blipFill>
                  <pic:spPr bwMode="auto">
                    <a:xfrm>
                      <a:off x="0" y="0"/>
                      <a:ext cx="4892231" cy="3147049"/>
                    </a:xfrm>
                    <a:prstGeom prst="rect">
                      <a:avLst/>
                    </a:prstGeom>
                    <a:ln>
                      <a:noFill/>
                    </a:ln>
                    <a:extLst>
                      <a:ext uri="{53640926-AAD7-44D8-BBD7-CCE9431645EC}">
                        <a14:shadowObscured xmlns:a14="http://schemas.microsoft.com/office/drawing/2010/main"/>
                      </a:ext>
                    </a:extLst>
                  </pic:spPr>
                </pic:pic>
              </a:graphicData>
            </a:graphic>
          </wp:inline>
        </w:drawing>
      </w:r>
    </w:p>
    <w:p w:rsidR="00A931C9" w:rsidRDefault="00A931C9" w:rsidP="004D35F5">
      <w:pPr>
        <w:pStyle w:val="Prrafodelista"/>
        <w:ind w:left="360"/>
      </w:pPr>
    </w:p>
    <w:p w:rsidR="00A931C9" w:rsidRDefault="0008779F" w:rsidP="004D35F5">
      <w:pPr>
        <w:pStyle w:val="Prrafodelista"/>
        <w:ind w:left="360"/>
        <w:rPr>
          <w:rFonts w:ascii="Intro-Book" w:hAnsi="Intro-Book" w:cs="Intro-Book"/>
          <w:color w:val="FF0000"/>
          <w:sz w:val="21"/>
          <w:szCs w:val="21"/>
        </w:rPr>
      </w:pPr>
      <w:r w:rsidRPr="0008779F">
        <w:rPr>
          <w:rFonts w:ascii="Intro-Book" w:hAnsi="Intro-Book" w:cs="Intro-Book"/>
          <w:color w:val="FF0000"/>
          <w:sz w:val="21"/>
          <w:szCs w:val="21"/>
        </w:rPr>
        <w:t>Carencias sociales y pobreza</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Con base en los resultados del Consejo Nacional de Evaluación de la Política de Desarrollo Social, </w:t>
      </w:r>
      <w:proofErr w:type="spellStart"/>
      <w:r>
        <w:rPr>
          <w:rFonts w:ascii="Intro-Book" w:hAnsi="Intro-Book" w:cs="Intro-Book"/>
          <w:color w:val="242021"/>
          <w:sz w:val="20"/>
          <w:szCs w:val="20"/>
        </w:rPr>
        <w:t>Coneval</w:t>
      </w:r>
      <w:proofErr w:type="gramStart"/>
      <w:r>
        <w:rPr>
          <w:rFonts w:ascii="Intro-Book" w:hAnsi="Intro-Book" w:cs="Intro-Book"/>
          <w:color w:val="242021"/>
          <w:sz w:val="20"/>
          <w:szCs w:val="20"/>
        </w:rPr>
        <w:t>,del</w:t>
      </w:r>
      <w:proofErr w:type="spellEnd"/>
      <w:proofErr w:type="gramEnd"/>
      <w:r>
        <w:rPr>
          <w:rFonts w:ascii="Intro-Book" w:hAnsi="Intro-Book" w:cs="Intro-Book"/>
          <w:color w:val="242021"/>
          <w:sz w:val="20"/>
          <w:szCs w:val="20"/>
        </w:rPr>
        <w:t xml:space="preserve"> 2014 al 2016, en Guanajuato disminuyó la pobreza 4.2%, es decir, 193 mil personas menos en esta situación. Lo anterior corresponde a que en 2014 se registró 46.6% (2,683 personas) y en 2016, 42.4% (2 mil 489 personas).</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En cuanto a la pobreza moderada, también se presentó una disminución de 3.1% en el mismo periodo. Lo anterior corresponde a que pasó de 41% (2 mil 365 personas) a 38% (2 mil 232 personas), lo cual equivale a 133 mil personas menos en dicha situación.</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Por otra parte, en el tema de la pobreza extrema, ésta se redujo en el estado en 1.1% del 2014 al 2016, ya que pasó de 5.5% (317 mil personas) a 4.4% (257 mil personas). Por consiguiente, 60 mil personas dejaron de estar en esta condición.</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Respecto al tema del bienestar, en 2016 Guanajuato registró que 15.6% de su población tiene un ingreso inferior a la línea del bienestar mínimo, es decir, más de 916 mil personas. Lo anterior, representa una disminución de aproximadamente 41 mil personas respecto de la cifra estimada en 2014. Por otra parte, la población con ingreso inferior a la línea de bienestar fue de 50.6% en 2016 con una diferencia porcentual de -4.6. Esto se explica en la siguiente gráfica.</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p>
    <w:p w:rsidR="0008779F" w:rsidRDefault="0008779F" w:rsidP="0008779F">
      <w:pPr>
        <w:autoSpaceDE w:val="0"/>
        <w:autoSpaceDN w:val="0"/>
        <w:adjustRightInd w:val="0"/>
        <w:spacing w:after="0" w:line="240" w:lineRule="auto"/>
        <w:rPr>
          <w:color w:val="FF0000"/>
        </w:rPr>
      </w:pPr>
      <w:r>
        <w:rPr>
          <w:noProof/>
          <w:lang w:eastAsia="es-MX"/>
        </w:rPr>
        <w:lastRenderedPageBreak/>
        <w:drawing>
          <wp:inline distT="0" distB="0" distL="0" distR="0" wp14:anchorId="7EBDD382" wp14:editId="4AEEDFE8">
            <wp:extent cx="5514975" cy="3543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686" t="13306" r="7484" b="9584"/>
                    <a:stretch/>
                  </pic:blipFill>
                  <pic:spPr bwMode="auto">
                    <a:xfrm>
                      <a:off x="0" y="0"/>
                      <a:ext cx="5526723" cy="3550848"/>
                    </a:xfrm>
                    <a:prstGeom prst="rect">
                      <a:avLst/>
                    </a:prstGeom>
                    <a:ln>
                      <a:noFill/>
                    </a:ln>
                    <a:extLst>
                      <a:ext uri="{53640926-AAD7-44D8-BBD7-CCE9431645EC}">
                        <a14:shadowObscured xmlns:a14="http://schemas.microsoft.com/office/drawing/2010/main"/>
                      </a:ext>
                    </a:extLst>
                  </pic:spPr>
                </pic:pic>
              </a:graphicData>
            </a:graphic>
          </wp:inline>
        </w:drawing>
      </w:r>
    </w:p>
    <w:p w:rsidR="0008779F" w:rsidRDefault="0008779F" w:rsidP="0008779F">
      <w:pPr>
        <w:autoSpaceDE w:val="0"/>
        <w:autoSpaceDN w:val="0"/>
        <w:adjustRightInd w:val="0"/>
        <w:spacing w:after="0" w:line="240" w:lineRule="auto"/>
        <w:rPr>
          <w:rFonts w:ascii="Intro-Book" w:hAnsi="Intro-Book" w:cs="Intro-Book"/>
          <w:color w:val="FF0000"/>
          <w:sz w:val="20"/>
          <w:szCs w:val="20"/>
        </w:rPr>
      </w:pPr>
      <w:r>
        <w:rPr>
          <w:rFonts w:ascii="Intro-Book" w:hAnsi="Intro-Book" w:cs="Intro-Book"/>
          <w:color w:val="242021"/>
          <w:sz w:val="20"/>
          <w:szCs w:val="20"/>
        </w:rPr>
        <w:t>Por lo anterior, en el porcentaje de población en situación de pobreza extrema</w:t>
      </w:r>
      <w:r w:rsidRPr="0008779F">
        <w:rPr>
          <w:rFonts w:ascii="Intro-Book" w:hAnsi="Intro-Book" w:cs="Intro-Book"/>
          <w:color w:val="FF0000"/>
          <w:sz w:val="20"/>
          <w:szCs w:val="20"/>
        </w:rPr>
        <w:t>, el estado se posicionó en 2010 y 2014 en el lugar nacional 17 y 15, respectivamente.</w:t>
      </w:r>
    </w:p>
    <w:p w:rsidR="0008779F" w:rsidRDefault="0008779F" w:rsidP="0008779F">
      <w:pPr>
        <w:autoSpaceDE w:val="0"/>
        <w:autoSpaceDN w:val="0"/>
        <w:adjustRightInd w:val="0"/>
        <w:spacing w:after="0" w:line="240" w:lineRule="auto"/>
        <w:rPr>
          <w:rFonts w:ascii="Intro-Book" w:hAnsi="Intro-Book" w:cs="Intro-Book"/>
          <w:color w:val="FF0000"/>
          <w:sz w:val="20"/>
          <w:szCs w:val="20"/>
        </w:rPr>
      </w:pPr>
    </w:p>
    <w:p w:rsidR="0008779F" w:rsidRDefault="0008779F" w:rsidP="0008779F">
      <w:pPr>
        <w:autoSpaceDE w:val="0"/>
        <w:autoSpaceDN w:val="0"/>
        <w:adjustRightInd w:val="0"/>
        <w:spacing w:after="0" w:line="240" w:lineRule="auto"/>
        <w:rPr>
          <w:color w:val="FF0000"/>
        </w:rPr>
      </w:pPr>
      <w:r>
        <w:rPr>
          <w:noProof/>
          <w:lang w:eastAsia="es-MX"/>
        </w:rPr>
        <w:drawing>
          <wp:inline distT="0" distB="0" distL="0" distR="0" wp14:anchorId="06E61461" wp14:editId="4633A040">
            <wp:extent cx="5276850" cy="2571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744" t="10876" r="11128" b="7553"/>
                    <a:stretch/>
                  </pic:blipFill>
                  <pic:spPr bwMode="auto">
                    <a:xfrm>
                      <a:off x="0" y="0"/>
                      <a:ext cx="5283227" cy="2574858"/>
                    </a:xfrm>
                    <a:prstGeom prst="rect">
                      <a:avLst/>
                    </a:prstGeom>
                    <a:ln>
                      <a:noFill/>
                    </a:ln>
                    <a:extLst>
                      <a:ext uri="{53640926-AAD7-44D8-BBD7-CCE9431645EC}">
                        <a14:shadowObscured xmlns:a14="http://schemas.microsoft.com/office/drawing/2010/main"/>
                      </a:ext>
                    </a:extLst>
                  </pic:spPr>
                </pic:pic>
              </a:graphicData>
            </a:graphic>
          </wp:inline>
        </w:drawing>
      </w:r>
    </w:p>
    <w:p w:rsidR="0008779F" w:rsidRDefault="0008779F" w:rsidP="0008779F">
      <w:pPr>
        <w:autoSpaceDE w:val="0"/>
        <w:autoSpaceDN w:val="0"/>
        <w:adjustRightInd w:val="0"/>
        <w:spacing w:after="0" w:line="240" w:lineRule="auto"/>
        <w:rPr>
          <w:color w:val="FF0000"/>
        </w:rPr>
      </w:pPr>
    </w:p>
    <w:p w:rsidR="0008779F" w:rsidRDefault="0008779F" w:rsidP="0008779F">
      <w:pPr>
        <w:autoSpaceDE w:val="0"/>
        <w:autoSpaceDN w:val="0"/>
        <w:adjustRightInd w:val="0"/>
        <w:spacing w:after="0" w:line="240" w:lineRule="auto"/>
        <w:jc w:val="both"/>
        <w:rPr>
          <w:rFonts w:ascii="Intro-Book" w:hAnsi="Intro-Book" w:cs="Intro-Book"/>
          <w:color w:val="242021"/>
          <w:sz w:val="20"/>
          <w:szCs w:val="20"/>
        </w:rPr>
      </w:pPr>
      <w:r>
        <w:rPr>
          <w:rFonts w:ascii="Intro-Book" w:hAnsi="Intro-Book" w:cs="Intro-Book"/>
          <w:color w:val="242021"/>
          <w:sz w:val="20"/>
          <w:szCs w:val="20"/>
        </w:rPr>
        <w:t xml:space="preserve">Asimismo, de 2014 a 2016 el estado presentó una disminución de 3.2%, lo cual corresponde a una reducción significativa de 160 mil personas en </w:t>
      </w:r>
      <w:r w:rsidRPr="0008779F">
        <w:rPr>
          <w:rFonts w:ascii="Intro-Book" w:hAnsi="Intro-Book" w:cs="Intro-Book"/>
          <w:color w:val="FF0000"/>
          <w:sz w:val="20"/>
          <w:szCs w:val="20"/>
        </w:rPr>
        <w:t>carencia por acceso a la alimentación</w:t>
      </w:r>
      <w:r>
        <w:rPr>
          <w:rFonts w:ascii="Intro-Book" w:hAnsi="Intro-Book" w:cs="Intro-Book"/>
          <w:color w:val="242021"/>
          <w:sz w:val="20"/>
          <w:szCs w:val="20"/>
        </w:rPr>
        <w:t>, dado que en dicho periodo se registró 22.9% (1 mil 322 personas) y 19.8% (1 mil 162 personas), respectivamente.</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En lo concerniente a </w:t>
      </w:r>
      <w:r w:rsidRPr="0008779F">
        <w:rPr>
          <w:rFonts w:ascii="Intro-Book" w:hAnsi="Intro-Book" w:cs="Intro-Book"/>
          <w:color w:val="FF0000"/>
          <w:sz w:val="20"/>
          <w:szCs w:val="20"/>
        </w:rPr>
        <w:t xml:space="preserve">la carencia por acceso a los servicios básicos en la vivienda </w:t>
      </w:r>
      <w:r>
        <w:rPr>
          <w:rFonts w:ascii="Intro-Book" w:hAnsi="Intro-Book" w:cs="Intro-Book"/>
          <w:color w:val="242021"/>
          <w:sz w:val="20"/>
          <w:szCs w:val="20"/>
        </w:rPr>
        <w:t>de 2014 a 2016 disminuyó en un 1.4%, lo cual significó 67 mil personas menos con dicha carencia. Lo anterior debido a que en 2014 se registró 14.9% (859 mil personas) y en 2016, 13.5% (792 mil personas).</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De igual manera, 7.7% de la población se encuentra </w:t>
      </w:r>
      <w:r w:rsidRPr="0008779F">
        <w:rPr>
          <w:rFonts w:ascii="Intro-Book" w:hAnsi="Intro-Book" w:cs="Intro-Book"/>
          <w:color w:val="FF0000"/>
          <w:sz w:val="20"/>
          <w:szCs w:val="20"/>
        </w:rPr>
        <w:t>en carencia por calidad y espacios de la vivienda</w:t>
      </w:r>
      <w:r>
        <w:rPr>
          <w:rFonts w:ascii="Intro-Book" w:hAnsi="Intro-Book" w:cs="Intro-Book"/>
          <w:color w:val="242021"/>
          <w:sz w:val="20"/>
          <w:szCs w:val="20"/>
        </w:rPr>
        <w:t>, esto es 108 mil personas menos en comparación a 2014.</w:t>
      </w:r>
    </w:p>
    <w:p w:rsidR="0008779F" w:rsidRDefault="0008779F" w:rsidP="0008779F">
      <w:pPr>
        <w:autoSpaceDE w:val="0"/>
        <w:autoSpaceDN w:val="0"/>
        <w:adjustRightInd w:val="0"/>
        <w:spacing w:after="0" w:line="240" w:lineRule="auto"/>
        <w:rPr>
          <w:rFonts w:ascii="Intro-Book" w:hAnsi="Intro-Book" w:cs="Intro-Book"/>
          <w:color w:val="242021"/>
          <w:sz w:val="20"/>
          <w:szCs w:val="20"/>
        </w:rPr>
      </w:pPr>
      <w:r w:rsidRPr="0008779F">
        <w:rPr>
          <w:rFonts w:ascii="Intro-Book" w:hAnsi="Intro-Book" w:cs="Intro-Book"/>
          <w:color w:val="FF0000"/>
          <w:sz w:val="20"/>
          <w:szCs w:val="20"/>
        </w:rPr>
        <w:lastRenderedPageBreak/>
        <w:t xml:space="preserve">La carencia por acceso a la seguridad social </w:t>
      </w:r>
      <w:r>
        <w:rPr>
          <w:rFonts w:ascii="Intro-Book" w:hAnsi="Intro-Book" w:cs="Intro-Book"/>
          <w:color w:val="242021"/>
          <w:sz w:val="20"/>
          <w:szCs w:val="20"/>
        </w:rPr>
        <w:t>tuvo la disminución relativa más significativa respecto de los indicadores de carencia social, pasando del 57.9% al 54.5% de la población con esta situación en 2016. El porcentaje de población con carencia por acceso a los servicios de salud disminuyó en el periodo 2010–2014, tanto en Guanajuato como en el ámbito nacional. En sólo 4 años, el porcentaje de población con esta carencia disminuyó 10 puntos porcentuales y avanzó cuatro lugares en el ranking nacional. Adicionalmente, en el 2015, la carencia disminuyó 13.4%.</w:t>
      </w:r>
    </w:p>
    <w:p w:rsidR="00C21AAC" w:rsidRDefault="00C21AAC" w:rsidP="0008779F">
      <w:pPr>
        <w:autoSpaceDE w:val="0"/>
        <w:autoSpaceDN w:val="0"/>
        <w:adjustRightInd w:val="0"/>
        <w:spacing w:after="0" w:line="240" w:lineRule="auto"/>
        <w:rPr>
          <w:rFonts w:ascii="Intro-Book" w:hAnsi="Intro-Book" w:cs="Intro-Book"/>
          <w:color w:val="242021"/>
          <w:sz w:val="20"/>
          <w:szCs w:val="20"/>
        </w:rPr>
      </w:pPr>
    </w:p>
    <w:p w:rsidR="00C21AAC" w:rsidRDefault="00C21AAC" w:rsidP="0008779F">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Comparativo por carencia </w:t>
      </w:r>
      <w:r w:rsidR="00F1622E">
        <w:rPr>
          <w:rFonts w:ascii="Intro-Book" w:hAnsi="Intro-Book" w:cs="Intro-Book"/>
          <w:color w:val="242021"/>
          <w:sz w:val="20"/>
          <w:szCs w:val="20"/>
        </w:rPr>
        <w:t>por acceso a</w:t>
      </w:r>
      <w:r>
        <w:rPr>
          <w:rFonts w:ascii="Intro-Book" w:hAnsi="Intro-Book" w:cs="Intro-Book"/>
          <w:color w:val="242021"/>
          <w:sz w:val="20"/>
          <w:szCs w:val="20"/>
        </w:rPr>
        <w:t xml:space="preserve"> servicios de salud</w:t>
      </w:r>
    </w:p>
    <w:p w:rsidR="00F1622E" w:rsidRDefault="00F1622E" w:rsidP="0008779F">
      <w:pPr>
        <w:autoSpaceDE w:val="0"/>
        <w:autoSpaceDN w:val="0"/>
        <w:adjustRightInd w:val="0"/>
        <w:spacing w:after="0" w:line="240" w:lineRule="auto"/>
        <w:rPr>
          <w:rFonts w:ascii="Intro-Book" w:hAnsi="Intro-Book" w:cs="Intro-Book"/>
          <w:color w:val="242021"/>
          <w:sz w:val="20"/>
          <w:szCs w:val="20"/>
        </w:rPr>
      </w:pPr>
    </w:p>
    <w:p w:rsidR="00F1622E" w:rsidRDefault="00F1622E" w:rsidP="0008779F">
      <w:pPr>
        <w:autoSpaceDE w:val="0"/>
        <w:autoSpaceDN w:val="0"/>
        <w:adjustRightInd w:val="0"/>
        <w:spacing w:after="0" w:line="240" w:lineRule="auto"/>
        <w:rPr>
          <w:rFonts w:ascii="Intro-Book" w:hAnsi="Intro-Book" w:cs="Intro-Book"/>
          <w:color w:val="242021"/>
          <w:sz w:val="20"/>
          <w:szCs w:val="20"/>
        </w:rPr>
      </w:pPr>
    </w:p>
    <w:p w:rsidR="00F1622E" w:rsidRDefault="00F1622E" w:rsidP="0008779F">
      <w:pPr>
        <w:autoSpaceDE w:val="0"/>
        <w:autoSpaceDN w:val="0"/>
        <w:adjustRightInd w:val="0"/>
        <w:spacing w:after="0" w:line="240" w:lineRule="auto"/>
        <w:rPr>
          <w:rFonts w:ascii="Intro-Book" w:hAnsi="Intro-Book" w:cs="Intro-Book"/>
          <w:color w:val="242021"/>
          <w:sz w:val="20"/>
          <w:szCs w:val="20"/>
        </w:rPr>
      </w:pPr>
    </w:p>
    <w:p w:rsidR="00F1622E" w:rsidRDefault="00F1622E" w:rsidP="00F1622E">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Finalmente, el indicador por carencia de rezago educativo presentó una disminución en más de 25 mil personas, para colocarse en 20.1% de la población en rezago para 2016.</w:t>
      </w:r>
    </w:p>
    <w:p w:rsidR="00F1622E" w:rsidRDefault="00F1622E" w:rsidP="0008779F">
      <w:pPr>
        <w:autoSpaceDE w:val="0"/>
        <w:autoSpaceDN w:val="0"/>
        <w:adjustRightInd w:val="0"/>
        <w:spacing w:after="0" w:line="240" w:lineRule="auto"/>
        <w:rPr>
          <w:rFonts w:ascii="Intro-Book" w:hAnsi="Intro-Book" w:cs="Intro-Book"/>
          <w:color w:val="242021"/>
          <w:sz w:val="20"/>
          <w:szCs w:val="20"/>
        </w:rPr>
      </w:pPr>
    </w:p>
    <w:p w:rsidR="00C21AAC" w:rsidRDefault="00F1622E" w:rsidP="0008779F">
      <w:pPr>
        <w:autoSpaceDE w:val="0"/>
        <w:autoSpaceDN w:val="0"/>
        <w:adjustRightInd w:val="0"/>
        <w:spacing w:after="0" w:line="240" w:lineRule="auto"/>
        <w:rPr>
          <w:rFonts w:ascii="Intro-Book" w:hAnsi="Intro-Book" w:cs="Intro-Book"/>
          <w:color w:val="242021"/>
          <w:sz w:val="20"/>
          <w:szCs w:val="20"/>
        </w:rPr>
      </w:pPr>
      <w:r>
        <w:rPr>
          <w:noProof/>
          <w:lang w:eastAsia="es-MX"/>
        </w:rPr>
        <w:drawing>
          <wp:inline distT="0" distB="0" distL="0" distR="0" wp14:anchorId="38AACCA7" wp14:editId="0A2C8A1B">
            <wp:extent cx="5857875" cy="3629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054" t="8467" r="6292" b="7553"/>
                    <a:stretch/>
                  </pic:blipFill>
                  <pic:spPr bwMode="auto">
                    <a:xfrm>
                      <a:off x="0" y="0"/>
                      <a:ext cx="5869830" cy="3636431"/>
                    </a:xfrm>
                    <a:prstGeom prst="rect">
                      <a:avLst/>
                    </a:prstGeom>
                    <a:ln>
                      <a:noFill/>
                    </a:ln>
                    <a:extLst>
                      <a:ext uri="{53640926-AAD7-44D8-BBD7-CCE9431645EC}">
                        <a14:shadowObscured xmlns:a14="http://schemas.microsoft.com/office/drawing/2010/main"/>
                      </a:ext>
                    </a:extLst>
                  </pic:spPr>
                </pic:pic>
              </a:graphicData>
            </a:graphic>
          </wp:inline>
        </w:drawing>
      </w:r>
    </w:p>
    <w:p w:rsidR="00F1622E" w:rsidRDefault="006B38FA" w:rsidP="0008779F">
      <w:pPr>
        <w:autoSpaceDE w:val="0"/>
        <w:autoSpaceDN w:val="0"/>
        <w:adjustRightInd w:val="0"/>
        <w:spacing w:after="0" w:line="240" w:lineRule="auto"/>
        <w:rPr>
          <w:rFonts w:ascii="Intro-Book" w:hAnsi="Intro-Book" w:cs="Intro-Book"/>
          <w:color w:val="FF0000"/>
          <w:sz w:val="21"/>
          <w:szCs w:val="21"/>
        </w:rPr>
      </w:pPr>
      <w:r w:rsidRPr="006B38FA">
        <w:rPr>
          <w:rFonts w:ascii="Intro-Book" w:hAnsi="Intro-Book" w:cs="Intro-Book"/>
          <w:color w:val="FF0000"/>
          <w:sz w:val="21"/>
          <w:szCs w:val="21"/>
        </w:rPr>
        <w:t>Rezago social</w:t>
      </w:r>
    </w:p>
    <w:p w:rsidR="006B38FA" w:rsidRDefault="006B38FA" w:rsidP="006B38FA">
      <w:pPr>
        <w:autoSpaceDE w:val="0"/>
        <w:autoSpaceDN w:val="0"/>
        <w:adjustRightInd w:val="0"/>
        <w:spacing w:after="0" w:line="240" w:lineRule="auto"/>
        <w:rPr>
          <w:rFonts w:ascii="Intro-Book" w:hAnsi="Intro-Book" w:cs="Intro-Book"/>
          <w:color w:val="FF0000"/>
          <w:sz w:val="21"/>
          <w:szCs w:val="21"/>
        </w:rPr>
      </w:pPr>
      <w:r>
        <w:rPr>
          <w:rFonts w:ascii="Intro-Book" w:hAnsi="Intro-Book" w:cs="Intro-Book"/>
          <w:color w:val="242021"/>
          <w:sz w:val="20"/>
          <w:szCs w:val="20"/>
        </w:rPr>
        <w:t xml:space="preserve">Por otra parte, el </w:t>
      </w:r>
      <w:proofErr w:type="spellStart"/>
      <w:r>
        <w:rPr>
          <w:rFonts w:ascii="Intro-Book" w:hAnsi="Intro-Book" w:cs="Intro-Book"/>
          <w:color w:val="242021"/>
          <w:sz w:val="20"/>
          <w:szCs w:val="20"/>
        </w:rPr>
        <w:t>Coneval</w:t>
      </w:r>
      <w:proofErr w:type="spellEnd"/>
      <w:r>
        <w:rPr>
          <w:rFonts w:ascii="Intro-Book" w:hAnsi="Intro-Book" w:cs="Intro-Book"/>
          <w:color w:val="242021"/>
          <w:sz w:val="20"/>
          <w:szCs w:val="20"/>
        </w:rPr>
        <w:t xml:space="preserve"> publica el Índice de Rezago Social, IRS, el cual es una medida ponderada que resume cuatro indicadores de carencias sociales (educación, salud, servicios básicos y espacios en la vivienda) en un solo índice que tiene como finalidad ordenar a las unidades de observación según sus carencias sociales. A nivel de entidad federativa.</w:t>
      </w:r>
    </w:p>
    <w:p w:rsidR="006B38FA" w:rsidRDefault="006B38FA" w:rsidP="0008779F">
      <w:pPr>
        <w:autoSpaceDE w:val="0"/>
        <w:autoSpaceDN w:val="0"/>
        <w:adjustRightInd w:val="0"/>
        <w:spacing w:after="0" w:line="240" w:lineRule="auto"/>
        <w:rPr>
          <w:rFonts w:ascii="Intro-Book" w:hAnsi="Intro-Book" w:cs="Intro-Book"/>
          <w:color w:val="FF0000"/>
          <w:sz w:val="20"/>
          <w:szCs w:val="20"/>
        </w:rPr>
      </w:pPr>
      <w:r>
        <w:rPr>
          <w:noProof/>
          <w:lang w:eastAsia="es-MX"/>
        </w:rPr>
        <w:lastRenderedPageBreak/>
        <w:drawing>
          <wp:inline distT="0" distB="0" distL="0" distR="0" wp14:anchorId="2D3972DB" wp14:editId="0295AB7A">
            <wp:extent cx="5705475" cy="3810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234" t="12689" r="10278" b="2114"/>
                    <a:stretch/>
                  </pic:blipFill>
                  <pic:spPr bwMode="auto">
                    <a:xfrm>
                      <a:off x="0" y="0"/>
                      <a:ext cx="5712370" cy="3814604"/>
                    </a:xfrm>
                    <a:prstGeom prst="rect">
                      <a:avLst/>
                    </a:prstGeom>
                    <a:ln>
                      <a:noFill/>
                    </a:ln>
                    <a:extLst>
                      <a:ext uri="{53640926-AAD7-44D8-BBD7-CCE9431645EC}">
                        <a14:shadowObscured xmlns:a14="http://schemas.microsoft.com/office/drawing/2010/main"/>
                      </a:ext>
                    </a:extLst>
                  </pic:spPr>
                </pic:pic>
              </a:graphicData>
            </a:graphic>
          </wp:inline>
        </w:drawing>
      </w:r>
    </w:p>
    <w:p w:rsidR="006B38FA" w:rsidRDefault="006B38FA" w:rsidP="0008779F">
      <w:pPr>
        <w:autoSpaceDE w:val="0"/>
        <w:autoSpaceDN w:val="0"/>
        <w:adjustRightInd w:val="0"/>
        <w:spacing w:after="0" w:line="240" w:lineRule="auto"/>
        <w:rPr>
          <w:rFonts w:ascii="Intro-Book" w:hAnsi="Intro-Book" w:cs="Intro-Book"/>
          <w:color w:val="FF0000"/>
          <w:sz w:val="20"/>
          <w:szCs w:val="20"/>
        </w:rPr>
      </w:pPr>
    </w:p>
    <w:p w:rsidR="006B38FA" w:rsidRDefault="006B38FA" w:rsidP="006B38FA">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Por otra parte, Guanajuato ha presentado un grado de rezago social medio (lugar 20 nacional), alto (lugar 22 nacional), medio (lugar 22 nacional) y medio (lugar 20 nacional), para los años 2000, 2005, 2010 y 2015 respectivamente.</w:t>
      </w:r>
    </w:p>
    <w:p w:rsidR="006B38FA" w:rsidRDefault="006B38FA" w:rsidP="006B38FA">
      <w:pPr>
        <w:autoSpaceDE w:val="0"/>
        <w:autoSpaceDN w:val="0"/>
        <w:adjustRightInd w:val="0"/>
        <w:spacing w:after="0" w:line="240" w:lineRule="auto"/>
        <w:rPr>
          <w:rFonts w:ascii="Intro-Book" w:hAnsi="Intro-Book" w:cs="Intro-Book"/>
          <w:color w:val="FF0000"/>
          <w:sz w:val="20"/>
          <w:szCs w:val="20"/>
        </w:rPr>
      </w:pPr>
      <w:r>
        <w:rPr>
          <w:noProof/>
          <w:lang w:eastAsia="es-MX"/>
        </w:rPr>
        <w:drawing>
          <wp:inline distT="0" distB="0" distL="0" distR="0" wp14:anchorId="7DEA5CD4" wp14:editId="7DC72BA8">
            <wp:extent cx="5191125" cy="3305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032" t="12387" r="17076" b="6948"/>
                    <a:stretch/>
                  </pic:blipFill>
                  <pic:spPr bwMode="auto">
                    <a:xfrm>
                      <a:off x="0" y="0"/>
                      <a:ext cx="5197398" cy="3309169"/>
                    </a:xfrm>
                    <a:prstGeom prst="rect">
                      <a:avLst/>
                    </a:prstGeom>
                    <a:ln>
                      <a:noFill/>
                    </a:ln>
                    <a:extLst>
                      <a:ext uri="{53640926-AAD7-44D8-BBD7-CCE9431645EC}">
                        <a14:shadowObscured xmlns:a14="http://schemas.microsoft.com/office/drawing/2010/main"/>
                      </a:ext>
                    </a:extLst>
                  </pic:spPr>
                </pic:pic>
              </a:graphicData>
            </a:graphic>
          </wp:inline>
        </w:drawing>
      </w:r>
    </w:p>
    <w:p w:rsidR="006B38FA" w:rsidRDefault="006B38FA" w:rsidP="006B38FA">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El IRS también permite conocer la situación que guarda cada municipio de la entidad, siendo los municipios</w:t>
      </w:r>
    </w:p>
    <w:p w:rsidR="006B38FA" w:rsidRDefault="006B38FA" w:rsidP="006B38FA">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lastRenderedPageBreak/>
        <w:t>de</w:t>
      </w:r>
      <w:proofErr w:type="gramEnd"/>
      <w:r>
        <w:rPr>
          <w:rFonts w:ascii="Intro-Book" w:hAnsi="Intro-Book" w:cs="Intro-Book"/>
          <w:color w:val="242021"/>
          <w:sz w:val="20"/>
          <w:szCs w:val="20"/>
        </w:rPr>
        <w:t xml:space="preserve"> Tierra Blanca, </w:t>
      </w:r>
      <w:proofErr w:type="spellStart"/>
      <w:r>
        <w:rPr>
          <w:rFonts w:ascii="Intro-Book" w:hAnsi="Intro-Book" w:cs="Intro-Book"/>
          <w:color w:val="242021"/>
          <w:sz w:val="20"/>
          <w:szCs w:val="20"/>
        </w:rPr>
        <w:t>Xichú</w:t>
      </w:r>
      <w:proofErr w:type="spellEnd"/>
      <w:r>
        <w:rPr>
          <w:rFonts w:ascii="Intro-Book" w:hAnsi="Intro-Book" w:cs="Intro-Book"/>
          <w:color w:val="242021"/>
          <w:sz w:val="20"/>
          <w:szCs w:val="20"/>
        </w:rPr>
        <w:t xml:space="preserve"> y Atarjea los que presentan un grado de rezago social alto para 2015, dicha condición se mantuvo desde la medición de 2010. Los municipios de San Diego de la Unión, Santa Catarina y Victoria, son clasificados como grado de rezago social medio, tanto en 2010 como en 2015; mientras que Comonfort, Ocampo, San Felipe, </w:t>
      </w:r>
      <w:proofErr w:type="spellStart"/>
      <w:r>
        <w:rPr>
          <w:rFonts w:ascii="Intro-Book" w:hAnsi="Intro-Book" w:cs="Intro-Book"/>
          <w:color w:val="242021"/>
          <w:sz w:val="20"/>
          <w:szCs w:val="20"/>
        </w:rPr>
        <w:t>Jerécuaro</w:t>
      </w:r>
      <w:proofErr w:type="spellEnd"/>
      <w:r>
        <w:rPr>
          <w:rFonts w:ascii="Intro-Book" w:hAnsi="Intro-Book" w:cs="Intro-Book"/>
          <w:color w:val="242021"/>
          <w:sz w:val="20"/>
          <w:szCs w:val="20"/>
        </w:rPr>
        <w:t>, Dolores Hidalgo y San Luis de la Paz, pasan de bajo grado de rezago social en 2010 a medio en 2015.</w:t>
      </w:r>
    </w:p>
    <w:p w:rsidR="006B38FA" w:rsidRDefault="006B38FA" w:rsidP="006B38FA">
      <w:pPr>
        <w:autoSpaceDE w:val="0"/>
        <w:autoSpaceDN w:val="0"/>
        <w:adjustRightInd w:val="0"/>
        <w:spacing w:after="0" w:line="240" w:lineRule="auto"/>
        <w:rPr>
          <w:rFonts w:ascii="Intro-Book" w:hAnsi="Intro-Book" w:cs="Intro-Book"/>
          <w:color w:val="242021"/>
          <w:sz w:val="20"/>
          <w:szCs w:val="20"/>
        </w:rPr>
      </w:pPr>
    </w:p>
    <w:p w:rsidR="006B38FA" w:rsidRDefault="006B38FA" w:rsidP="006B38FA">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Los municipios de Doctor Mora, </w:t>
      </w:r>
      <w:proofErr w:type="spellStart"/>
      <w:r>
        <w:rPr>
          <w:rFonts w:ascii="Intro-Book" w:hAnsi="Intro-Book" w:cs="Intro-Book"/>
          <w:color w:val="242021"/>
          <w:sz w:val="20"/>
          <w:szCs w:val="20"/>
        </w:rPr>
        <w:t>Tarimoro</w:t>
      </w:r>
      <w:proofErr w:type="spellEnd"/>
      <w:r>
        <w:rPr>
          <w:rFonts w:ascii="Intro-Book" w:hAnsi="Intro-Book" w:cs="Intro-Book"/>
          <w:color w:val="242021"/>
          <w:sz w:val="20"/>
          <w:szCs w:val="20"/>
        </w:rPr>
        <w:t xml:space="preserve">, </w:t>
      </w:r>
      <w:proofErr w:type="spellStart"/>
      <w:r>
        <w:rPr>
          <w:rFonts w:ascii="Intro-Book" w:hAnsi="Intro-Book" w:cs="Intro-Book"/>
          <w:color w:val="242021"/>
          <w:sz w:val="20"/>
          <w:szCs w:val="20"/>
        </w:rPr>
        <w:t>Cuerámaro</w:t>
      </w:r>
      <w:proofErr w:type="spellEnd"/>
      <w:r>
        <w:rPr>
          <w:rFonts w:ascii="Intro-Book" w:hAnsi="Intro-Book" w:cs="Intro-Book"/>
          <w:color w:val="242021"/>
          <w:sz w:val="20"/>
          <w:szCs w:val="20"/>
        </w:rPr>
        <w:t xml:space="preserve">, Romita, </w:t>
      </w:r>
      <w:proofErr w:type="spellStart"/>
      <w:r>
        <w:rPr>
          <w:rFonts w:ascii="Intro-Book" w:hAnsi="Intro-Book" w:cs="Intro-Book"/>
          <w:color w:val="242021"/>
          <w:sz w:val="20"/>
          <w:szCs w:val="20"/>
        </w:rPr>
        <w:t>Coroneo</w:t>
      </w:r>
      <w:proofErr w:type="spellEnd"/>
      <w:r>
        <w:rPr>
          <w:rFonts w:ascii="Intro-Book" w:hAnsi="Intro-Book" w:cs="Intro-Book"/>
          <w:color w:val="242021"/>
          <w:sz w:val="20"/>
          <w:szCs w:val="20"/>
        </w:rPr>
        <w:t xml:space="preserve">, </w:t>
      </w:r>
      <w:proofErr w:type="spellStart"/>
      <w:r>
        <w:rPr>
          <w:rFonts w:ascii="Intro-Book" w:hAnsi="Intro-Book" w:cs="Intro-Book"/>
          <w:color w:val="242021"/>
          <w:sz w:val="20"/>
          <w:szCs w:val="20"/>
        </w:rPr>
        <w:t>Yuriria</w:t>
      </w:r>
      <w:proofErr w:type="spellEnd"/>
      <w:r>
        <w:rPr>
          <w:rFonts w:ascii="Intro-Book" w:hAnsi="Intro-Book" w:cs="Intro-Book"/>
          <w:color w:val="242021"/>
          <w:sz w:val="20"/>
          <w:szCs w:val="20"/>
        </w:rPr>
        <w:t xml:space="preserve">, </w:t>
      </w:r>
      <w:proofErr w:type="spellStart"/>
      <w:r>
        <w:rPr>
          <w:rFonts w:ascii="Intro-Book" w:hAnsi="Intro-Book" w:cs="Intro-Book"/>
          <w:color w:val="242021"/>
          <w:sz w:val="20"/>
          <w:szCs w:val="20"/>
        </w:rPr>
        <w:t>Apaseo</w:t>
      </w:r>
      <w:proofErr w:type="spellEnd"/>
      <w:r>
        <w:rPr>
          <w:rFonts w:ascii="Intro-Book" w:hAnsi="Intro-Book" w:cs="Intro-Book"/>
          <w:color w:val="242021"/>
          <w:sz w:val="20"/>
          <w:szCs w:val="20"/>
        </w:rPr>
        <w:t xml:space="preserve"> el Alto, Santa Cruz de Juventino Rosas, Abasolo, Pénjamo, Manuel Doblado y San Miguel de Allende, mantienen su clasificación de grado de rezago social bajo desde 2010.</w:t>
      </w:r>
    </w:p>
    <w:p w:rsidR="006B38FA" w:rsidRDefault="006B38FA" w:rsidP="006B38FA">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Para los municipios de Villagrán, </w:t>
      </w:r>
      <w:proofErr w:type="spellStart"/>
      <w:r>
        <w:rPr>
          <w:rFonts w:ascii="Intro-Book" w:hAnsi="Intro-Book" w:cs="Intro-Book"/>
          <w:color w:val="242021"/>
          <w:sz w:val="20"/>
          <w:szCs w:val="20"/>
        </w:rPr>
        <w:t>Cortazar</w:t>
      </w:r>
      <w:proofErr w:type="spellEnd"/>
      <w:r>
        <w:rPr>
          <w:rFonts w:ascii="Intro-Book" w:hAnsi="Intro-Book" w:cs="Intro-Book"/>
          <w:color w:val="242021"/>
          <w:sz w:val="20"/>
          <w:szCs w:val="20"/>
        </w:rPr>
        <w:t xml:space="preserve">, Jaral del Progreso, </w:t>
      </w:r>
      <w:proofErr w:type="spellStart"/>
      <w:r>
        <w:rPr>
          <w:rFonts w:ascii="Intro-Book" w:hAnsi="Intro-Book" w:cs="Intro-Book"/>
          <w:color w:val="242021"/>
          <w:sz w:val="20"/>
          <w:szCs w:val="20"/>
        </w:rPr>
        <w:t>Acámbaro</w:t>
      </w:r>
      <w:proofErr w:type="spellEnd"/>
      <w:r>
        <w:rPr>
          <w:rFonts w:ascii="Intro-Book" w:hAnsi="Intro-Book" w:cs="Intro-Book"/>
          <w:color w:val="242021"/>
          <w:sz w:val="20"/>
          <w:szCs w:val="20"/>
        </w:rPr>
        <w:t xml:space="preserve">, </w:t>
      </w:r>
      <w:proofErr w:type="spellStart"/>
      <w:r>
        <w:rPr>
          <w:rFonts w:ascii="Intro-Book" w:hAnsi="Intro-Book" w:cs="Intro-Book"/>
          <w:color w:val="242021"/>
          <w:sz w:val="20"/>
          <w:szCs w:val="20"/>
        </w:rPr>
        <w:t>Uriangato</w:t>
      </w:r>
      <w:proofErr w:type="spellEnd"/>
      <w:r>
        <w:rPr>
          <w:rFonts w:ascii="Intro-Book" w:hAnsi="Intro-Book" w:cs="Intro-Book"/>
          <w:color w:val="242021"/>
          <w:sz w:val="20"/>
          <w:szCs w:val="20"/>
        </w:rPr>
        <w:t xml:space="preserve">, San </w:t>
      </w:r>
      <w:r w:rsidR="009F2B9D">
        <w:rPr>
          <w:rFonts w:ascii="Intro-Book" w:hAnsi="Intro-Book" w:cs="Intro-Book"/>
          <w:color w:val="242021"/>
          <w:sz w:val="20"/>
          <w:szCs w:val="20"/>
        </w:rPr>
        <w:t>f</w:t>
      </w:r>
      <w:r>
        <w:rPr>
          <w:rFonts w:ascii="Intro-Book" w:hAnsi="Intro-Book" w:cs="Intro-Book"/>
          <w:color w:val="242021"/>
          <w:sz w:val="20"/>
          <w:szCs w:val="20"/>
        </w:rPr>
        <w:t xml:space="preserve">rancisco del Rincón, San José Iturbide, Purísima del Rincón, Santiago </w:t>
      </w:r>
      <w:proofErr w:type="spellStart"/>
      <w:r>
        <w:rPr>
          <w:rFonts w:ascii="Intro-Book" w:hAnsi="Intro-Book" w:cs="Intro-Book"/>
          <w:color w:val="242021"/>
          <w:sz w:val="20"/>
          <w:szCs w:val="20"/>
        </w:rPr>
        <w:t>Maravatío</w:t>
      </w:r>
      <w:proofErr w:type="spellEnd"/>
      <w:r>
        <w:rPr>
          <w:rFonts w:ascii="Intro-Book" w:hAnsi="Intro-Book" w:cs="Intro-Book"/>
          <w:color w:val="242021"/>
          <w:sz w:val="20"/>
          <w:szCs w:val="20"/>
        </w:rPr>
        <w:t xml:space="preserve">, Silao, Salvatierra, </w:t>
      </w:r>
      <w:proofErr w:type="spellStart"/>
      <w:r>
        <w:rPr>
          <w:rFonts w:ascii="Intro-Book" w:hAnsi="Intro-Book" w:cs="Intro-Book"/>
          <w:color w:val="242021"/>
          <w:sz w:val="20"/>
          <w:szCs w:val="20"/>
        </w:rPr>
        <w:t>Apaseo</w:t>
      </w:r>
      <w:proofErr w:type="spellEnd"/>
      <w:r>
        <w:rPr>
          <w:rFonts w:ascii="Intro-Book" w:hAnsi="Intro-Book" w:cs="Intro-Book"/>
          <w:color w:val="242021"/>
          <w:sz w:val="20"/>
          <w:szCs w:val="20"/>
        </w:rPr>
        <w:t xml:space="preserve"> el Grande, </w:t>
      </w:r>
      <w:proofErr w:type="spellStart"/>
      <w:r>
        <w:rPr>
          <w:rFonts w:ascii="Intro-Book" w:hAnsi="Intro-Book" w:cs="Intro-Book"/>
          <w:color w:val="242021"/>
          <w:sz w:val="20"/>
          <w:szCs w:val="20"/>
        </w:rPr>
        <w:t>Tarandacuao</w:t>
      </w:r>
      <w:proofErr w:type="spellEnd"/>
      <w:r>
        <w:rPr>
          <w:rFonts w:ascii="Intro-Book" w:hAnsi="Intro-Book" w:cs="Intro-Book"/>
          <w:color w:val="242021"/>
          <w:sz w:val="20"/>
          <w:szCs w:val="20"/>
        </w:rPr>
        <w:t xml:space="preserve">. </w:t>
      </w:r>
      <w:proofErr w:type="spellStart"/>
      <w:r>
        <w:rPr>
          <w:rFonts w:ascii="Intro-Book" w:hAnsi="Intro-Book" w:cs="Intro-Book"/>
          <w:color w:val="242021"/>
          <w:sz w:val="20"/>
          <w:szCs w:val="20"/>
        </w:rPr>
        <w:t>Huanímaro</w:t>
      </w:r>
      <w:proofErr w:type="spellEnd"/>
      <w:r>
        <w:rPr>
          <w:rFonts w:ascii="Intro-Book" w:hAnsi="Intro-Book" w:cs="Intro-Book"/>
          <w:color w:val="242021"/>
          <w:sz w:val="20"/>
          <w:szCs w:val="20"/>
        </w:rPr>
        <w:t>, Pueblo Nuevo, Valle de Santiago cambian de grado de rezago social muy bajo en 2010 a bajo en 2015.</w:t>
      </w:r>
    </w:p>
    <w:p w:rsidR="006B38FA" w:rsidRDefault="006B38FA" w:rsidP="006B38FA">
      <w:pPr>
        <w:autoSpaceDE w:val="0"/>
        <w:autoSpaceDN w:val="0"/>
        <w:adjustRightInd w:val="0"/>
        <w:spacing w:after="0" w:line="240" w:lineRule="auto"/>
        <w:rPr>
          <w:rFonts w:ascii="Intro-Book" w:hAnsi="Intro-Book" w:cs="Intro-Book"/>
          <w:color w:val="FF0000"/>
          <w:sz w:val="20"/>
          <w:szCs w:val="20"/>
        </w:rPr>
      </w:pPr>
      <w:r>
        <w:rPr>
          <w:noProof/>
          <w:lang w:eastAsia="es-MX"/>
        </w:rPr>
        <w:drawing>
          <wp:inline distT="0" distB="0" distL="0" distR="0" wp14:anchorId="032C658E" wp14:editId="5940B0C8">
            <wp:extent cx="5686425" cy="3095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032" t="9969" r="17585" b="17523"/>
                    <a:stretch/>
                  </pic:blipFill>
                  <pic:spPr bwMode="auto">
                    <a:xfrm>
                      <a:off x="0" y="0"/>
                      <a:ext cx="5693298" cy="3099367"/>
                    </a:xfrm>
                    <a:prstGeom prst="rect">
                      <a:avLst/>
                    </a:prstGeom>
                    <a:ln>
                      <a:noFill/>
                    </a:ln>
                    <a:extLst>
                      <a:ext uri="{53640926-AAD7-44D8-BBD7-CCE9431645EC}">
                        <a14:shadowObscured xmlns:a14="http://schemas.microsoft.com/office/drawing/2010/main"/>
                      </a:ext>
                    </a:extLst>
                  </pic:spPr>
                </pic:pic>
              </a:graphicData>
            </a:graphic>
          </wp:inline>
        </w:drawing>
      </w:r>
    </w:p>
    <w:p w:rsidR="009F2B9D" w:rsidRDefault="009F2B9D" w:rsidP="006B38FA">
      <w:pPr>
        <w:autoSpaceDE w:val="0"/>
        <w:autoSpaceDN w:val="0"/>
        <w:adjustRightInd w:val="0"/>
        <w:spacing w:after="0" w:line="240" w:lineRule="auto"/>
        <w:rPr>
          <w:rFonts w:ascii="Intro-Book" w:hAnsi="Intro-Book" w:cs="Intro-Book"/>
          <w:color w:val="FF0000"/>
          <w:sz w:val="20"/>
          <w:szCs w:val="20"/>
        </w:rPr>
      </w:pPr>
    </w:p>
    <w:p w:rsidR="009F2B9D" w:rsidRDefault="009F2B9D" w:rsidP="006B38FA">
      <w:pPr>
        <w:autoSpaceDE w:val="0"/>
        <w:autoSpaceDN w:val="0"/>
        <w:adjustRightInd w:val="0"/>
        <w:spacing w:after="0" w:line="240" w:lineRule="auto"/>
        <w:rPr>
          <w:rFonts w:ascii="Intro-Book" w:hAnsi="Intro-Book" w:cs="Intro-Book"/>
          <w:color w:val="FF0000"/>
          <w:sz w:val="21"/>
          <w:szCs w:val="21"/>
        </w:rPr>
      </w:pPr>
      <w:r w:rsidRPr="009F2B9D">
        <w:rPr>
          <w:rFonts w:ascii="Intro-Book" w:hAnsi="Intro-Book" w:cs="Intro-Book"/>
          <w:color w:val="FF0000"/>
          <w:sz w:val="21"/>
          <w:szCs w:val="21"/>
        </w:rPr>
        <w:t>Marginación</w:t>
      </w:r>
    </w:p>
    <w:p w:rsidR="009F2B9D" w:rsidRDefault="009F2B9D" w:rsidP="006B38FA">
      <w:pPr>
        <w:autoSpaceDE w:val="0"/>
        <w:autoSpaceDN w:val="0"/>
        <w:adjustRightInd w:val="0"/>
        <w:spacing w:after="0" w:line="240" w:lineRule="auto"/>
        <w:rPr>
          <w:rFonts w:ascii="Intro-Book" w:hAnsi="Intro-Book" w:cs="Intro-Book"/>
          <w:color w:val="FF0000"/>
          <w:sz w:val="21"/>
          <w:szCs w:val="21"/>
        </w:rPr>
      </w:pPr>
    </w:p>
    <w:p w:rsidR="009F2B9D" w:rsidRDefault="009F2B9D" w:rsidP="009F2B9D">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 xml:space="preserve">El índice de marginación, IM, es publicado por el Consejo Nacional de Población, CONAPO, éste vincula la intensidad de las carencias sociales con su entorno espacial. Por lo tanto, este índice es un referente para orientar la política pública partiendo de un enfoque </w:t>
      </w:r>
      <w:proofErr w:type="spellStart"/>
      <w:r>
        <w:rPr>
          <w:rFonts w:ascii="Intro-Book" w:hAnsi="Intro-Book" w:cs="Intro-Book"/>
          <w:color w:val="242021"/>
          <w:sz w:val="20"/>
          <w:szCs w:val="20"/>
        </w:rPr>
        <w:t>socioespacial</w:t>
      </w:r>
      <w:proofErr w:type="spellEnd"/>
      <w:r>
        <w:rPr>
          <w:rFonts w:ascii="Intro-Book" w:hAnsi="Intro-Book" w:cs="Intro-Book"/>
          <w:color w:val="242021"/>
          <w:sz w:val="20"/>
          <w:szCs w:val="20"/>
        </w:rPr>
        <w:t>. El índice de marginación, IM, permite clasificar por áreas geográficas la intensidad de las privaciones sociales de la población con base en cinco intervalos: muy alto, alto, medio, bajo y muy bajo.</w:t>
      </w:r>
    </w:p>
    <w:p w:rsidR="009F2B9D" w:rsidRDefault="009F2B9D" w:rsidP="009F2B9D">
      <w:pPr>
        <w:autoSpaceDE w:val="0"/>
        <w:autoSpaceDN w:val="0"/>
        <w:adjustRightInd w:val="0"/>
        <w:spacing w:after="0" w:line="240" w:lineRule="auto"/>
        <w:rPr>
          <w:rFonts w:ascii="Intro-Book" w:hAnsi="Intro-Book" w:cs="Intro-Book"/>
          <w:color w:val="242021"/>
          <w:sz w:val="20"/>
          <w:szCs w:val="20"/>
        </w:rPr>
      </w:pPr>
    </w:p>
    <w:p w:rsidR="009F2B9D" w:rsidRDefault="009F2B9D" w:rsidP="009F2B9D">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Los resultados a nivel estatal sitúan a Guanajuato con un grado de marginación medio para 2010 y 2015, ocupando el lugar número 14 y 15, respectivamente, en el contexto nacional.</w:t>
      </w:r>
    </w:p>
    <w:p w:rsidR="009F2B9D" w:rsidRDefault="009F2B9D" w:rsidP="009F2B9D">
      <w:pPr>
        <w:autoSpaceDE w:val="0"/>
        <w:autoSpaceDN w:val="0"/>
        <w:adjustRightInd w:val="0"/>
        <w:spacing w:after="0" w:line="240" w:lineRule="auto"/>
        <w:rPr>
          <w:rFonts w:ascii="Intro-Book" w:hAnsi="Intro-Book" w:cs="Intro-Book"/>
          <w:color w:val="FF0000"/>
          <w:sz w:val="20"/>
          <w:szCs w:val="20"/>
        </w:rPr>
      </w:pPr>
      <w:r>
        <w:rPr>
          <w:noProof/>
          <w:lang w:eastAsia="es-MX"/>
        </w:rPr>
        <w:lastRenderedPageBreak/>
        <w:drawing>
          <wp:inline distT="0" distB="0" distL="0" distR="0" wp14:anchorId="17C2C7DF" wp14:editId="3C054863">
            <wp:extent cx="4953000" cy="3105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202" t="12702" r="17180" b="23789"/>
                    <a:stretch/>
                  </pic:blipFill>
                  <pic:spPr bwMode="auto">
                    <a:xfrm>
                      <a:off x="0" y="0"/>
                      <a:ext cx="4964088" cy="3112102"/>
                    </a:xfrm>
                    <a:prstGeom prst="rect">
                      <a:avLst/>
                    </a:prstGeom>
                    <a:ln>
                      <a:noFill/>
                    </a:ln>
                    <a:extLst>
                      <a:ext uri="{53640926-AAD7-44D8-BBD7-CCE9431645EC}">
                        <a14:shadowObscured xmlns:a14="http://schemas.microsoft.com/office/drawing/2010/main"/>
                      </a:ext>
                    </a:extLst>
                  </pic:spPr>
                </pic:pic>
              </a:graphicData>
            </a:graphic>
          </wp:inline>
        </w:drawing>
      </w:r>
    </w:p>
    <w:p w:rsidR="009F2B9D" w:rsidRDefault="009F2B9D" w:rsidP="009F2B9D">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A nivel municipal, los resultados muestran sólo dos casos en donde hay un aumento en el grado de</w:t>
      </w:r>
    </w:p>
    <w:p w:rsidR="009F2B9D" w:rsidRPr="00827CCC" w:rsidRDefault="009F2B9D" w:rsidP="009F2B9D">
      <w:pPr>
        <w:autoSpaceDE w:val="0"/>
        <w:autoSpaceDN w:val="0"/>
        <w:adjustRightInd w:val="0"/>
        <w:spacing w:after="0" w:line="240" w:lineRule="auto"/>
        <w:rPr>
          <w:rFonts w:ascii="Intro-Book" w:hAnsi="Intro-Book" w:cs="Intro-Book"/>
          <w:color w:val="FF0000"/>
          <w:sz w:val="20"/>
          <w:szCs w:val="20"/>
        </w:rPr>
      </w:pPr>
      <w:proofErr w:type="gramStart"/>
      <w:r>
        <w:rPr>
          <w:rFonts w:ascii="Intro-Book" w:hAnsi="Intro-Book" w:cs="Intro-Book"/>
          <w:color w:val="242021"/>
          <w:sz w:val="20"/>
          <w:szCs w:val="20"/>
        </w:rPr>
        <w:t>marginación</w:t>
      </w:r>
      <w:proofErr w:type="gramEnd"/>
      <w:r>
        <w:rPr>
          <w:rFonts w:ascii="Intro-Book" w:hAnsi="Intro-Book" w:cs="Intro-Book"/>
          <w:color w:val="242021"/>
          <w:sz w:val="20"/>
          <w:szCs w:val="20"/>
        </w:rPr>
        <w:t xml:space="preserve">: los municipios de San Diego de la Unión y Santa Catarina, los cuales pasaron de un grado medio en 2010 a un grado alto de marginación en 2015. Mientras que para el caso de </w:t>
      </w:r>
      <w:proofErr w:type="spellStart"/>
      <w:r>
        <w:rPr>
          <w:rFonts w:ascii="Intro-Book" w:hAnsi="Intro-Book" w:cs="Intro-Book"/>
          <w:color w:val="242021"/>
          <w:sz w:val="20"/>
          <w:szCs w:val="20"/>
        </w:rPr>
        <w:t>Xichú</w:t>
      </w:r>
      <w:proofErr w:type="spellEnd"/>
      <w:r>
        <w:rPr>
          <w:rFonts w:ascii="Intro-Book" w:hAnsi="Intro-Book" w:cs="Intro-Book"/>
          <w:color w:val="242021"/>
          <w:sz w:val="20"/>
          <w:szCs w:val="20"/>
        </w:rPr>
        <w:t xml:space="preserve">, éste tuvo una mejoría al pasar de un grado de marginación muy alto en 2010 a alto en 2015. Asimismo, </w:t>
      </w:r>
      <w:r w:rsidRPr="00827CCC">
        <w:rPr>
          <w:rFonts w:ascii="Intro-Book" w:hAnsi="Intro-Book" w:cs="Intro-Book"/>
          <w:color w:val="FF0000"/>
          <w:sz w:val="20"/>
          <w:szCs w:val="20"/>
        </w:rPr>
        <w:t>nueve municipios del estado</w:t>
      </w:r>
      <w:r w:rsidR="00827CCC" w:rsidRPr="00827CCC">
        <w:rPr>
          <w:rFonts w:ascii="Intro-Book" w:hAnsi="Intro-Book" w:cs="Intro-Book"/>
          <w:color w:val="FF0000"/>
          <w:sz w:val="20"/>
          <w:szCs w:val="20"/>
        </w:rPr>
        <w:t xml:space="preserve"> </w:t>
      </w:r>
      <w:r w:rsidRPr="00827CCC">
        <w:rPr>
          <w:rFonts w:ascii="Intro-Book" w:hAnsi="Intro-Book" w:cs="Intro-Book"/>
          <w:color w:val="FF0000"/>
          <w:sz w:val="20"/>
          <w:szCs w:val="20"/>
        </w:rPr>
        <w:t xml:space="preserve">presentaron una mejora, al pasar de un grado de </w:t>
      </w:r>
      <w:r w:rsidR="00827CCC">
        <w:rPr>
          <w:rFonts w:ascii="Intro-Book" w:hAnsi="Intro-Book" w:cs="Intro-Book"/>
          <w:color w:val="FF0000"/>
          <w:sz w:val="20"/>
          <w:szCs w:val="20"/>
        </w:rPr>
        <w:t>m</w:t>
      </w:r>
      <w:r w:rsidRPr="00827CCC">
        <w:rPr>
          <w:rFonts w:ascii="Intro-Book" w:hAnsi="Intro-Book" w:cs="Intro-Book"/>
          <w:color w:val="FF0000"/>
          <w:sz w:val="20"/>
          <w:szCs w:val="20"/>
        </w:rPr>
        <w:t>arginación medio en 2010 a bajo en 2015; estos municipios</w:t>
      </w:r>
      <w:r w:rsidR="00827CCC" w:rsidRPr="00827CCC">
        <w:rPr>
          <w:rFonts w:ascii="Intro-Book" w:hAnsi="Intro-Book" w:cs="Intro-Book"/>
          <w:color w:val="FF0000"/>
          <w:sz w:val="20"/>
          <w:szCs w:val="20"/>
        </w:rPr>
        <w:t xml:space="preserve"> </w:t>
      </w:r>
      <w:r w:rsidRPr="00827CCC">
        <w:rPr>
          <w:rFonts w:ascii="Intro-Book" w:hAnsi="Intro-Book" w:cs="Intro-Book"/>
          <w:color w:val="FF0000"/>
          <w:sz w:val="20"/>
          <w:szCs w:val="20"/>
        </w:rPr>
        <w:t xml:space="preserve">son San Miguel de Allende, </w:t>
      </w:r>
      <w:proofErr w:type="spellStart"/>
      <w:r w:rsidRPr="00827CCC">
        <w:rPr>
          <w:rFonts w:ascii="Intro-Book" w:hAnsi="Intro-Book" w:cs="Intro-Book"/>
          <w:color w:val="FF0000"/>
          <w:sz w:val="20"/>
          <w:szCs w:val="20"/>
        </w:rPr>
        <w:t>Huanímaro</w:t>
      </w:r>
      <w:proofErr w:type="spellEnd"/>
      <w:r w:rsidRPr="00827CCC">
        <w:rPr>
          <w:rFonts w:ascii="Intro-Book" w:hAnsi="Intro-Book" w:cs="Intro-Book"/>
          <w:color w:val="FF0000"/>
          <w:sz w:val="20"/>
          <w:szCs w:val="20"/>
        </w:rPr>
        <w:t xml:space="preserve">, </w:t>
      </w:r>
      <w:proofErr w:type="spellStart"/>
      <w:r w:rsidRPr="00827CCC">
        <w:rPr>
          <w:rFonts w:ascii="Intro-Book" w:hAnsi="Intro-Book" w:cs="Intro-Book"/>
          <w:color w:val="FF0000"/>
          <w:sz w:val="20"/>
          <w:szCs w:val="20"/>
        </w:rPr>
        <w:t>Apaseo</w:t>
      </w:r>
      <w:proofErr w:type="spellEnd"/>
      <w:r w:rsidRPr="00827CCC">
        <w:rPr>
          <w:rFonts w:ascii="Intro-Book" w:hAnsi="Intro-Book" w:cs="Intro-Book"/>
          <w:color w:val="FF0000"/>
          <w:sz w:val="20"/>
          <w:szCs w:val="20"/>
        </w:rPr>
        <w:t xml:space="preserve"> el Alto, Valle de Santiago, </w:t>
      </w:r>
      <w:proofErr w:type="spellStart"/>
      <w:r w:rsidRPr="00827CCC">
        <w:rPr>
          <w:rFonts w:ascii="Intro-Book" w:hAnsi="Intro-Book" w:cs="Intro-Book"/>
          <w:color w:val="FF0000"/>
          <w:sz w:val="20"/>
          <w:szCs w:val="20"/>
        </w:rPr>
        <w:t>Tarandacuao</w:t>
      </w:r>
      <w:proofErr w:type="spellEnd"/>
      <w:r w:rsidRPr="00827CCC">
        <w:rPr>
          <w:rFonts w:ascii="Intro-Book" w:hAnsi="Intro-Book" w:cs="Intro-Book"/>
          <w:color w:val="FF0000"/>
          <w:sz w:val="20"/>
          <w:szCs w:val="20"/>
        </w:rPr>
        <w:t xml:space="preserve">, Salvatierra, </w:t>
      </w:r>
      <w:proofErr w:type="spellStart"/>
      <w:r w:rsidRPr="00827CCC">
        <w:rPr>
          <w:rFonts w:ascii="Intro-Book" w:hAnsi="Intro-Book" w:cs="Intro-Book"/>
          <w:color w:val="FF0000"/>
          <w:sz w:val="20"/>
          <w:szCs w:val="20"/>
        </w:rPr>
        <w:t>Apaseo</w:t>
      </w:r>
      <w:proofErr w:type="spellEnd"/>
      <w:r w:rsidR="00827CCC">
        <w:rPr>
          <w:rFonts w:ascii="Intro-Book" w:hAnsi="Intro-Book" w:cs="Intro-Book"/>
          <w:color w:val="FF0000"/>
          <w:sz w:val="20"/>
          <w:szCs w:val="20"/>
        </w:rPr>
        <w:t xml:space="preserve"> </w:t>
      </w:r>
      <w:r w:rsidRPr="00827CCC">
        <w:rPr>
          <w:rFonts w:ascii="Intro-Book" w:hAnsi="Intro-Book" w:cs="Intro-Book"/>
          <w:color w:val="FF0000"/>
          <w:sz w:val="20"/>
          <w:szCs w:val="20"/>
        </w:rPr>
        <w:t>el Grande, Silao y San José de Iturbide.</w:t>
      </w:r>
    </w:p>
    <w:p w:rsidR="00827CCC" w:rsidRDefault="00827CCC" w:rsidP="009F2B9D">
      <w:pPr>
        <w:autoSpaceDE w:val="0"/>
        <w:autoSpaceDN w:val="0"/>
        <w:adjustRightInd w:val="0"/>
        <w:spacing w:after="0" w:line="240" w:lineRule="auto"/>
        <w:rPr>
          <w:rFonts w:ascii="Intro-Book" w:hAnsi="Intro-Book" w:cs="Intro-Book"/>
          <w:color w:val="242021"/>
          <w:sz w:val="20"/>
          <w:szCs w:val="20"/>
        </w:rPr>
      </w:pPr>
    </w:p>
    <w:p w:rsidR="009F2B9D" w:rsidRDefault="00827CCC" w:rsidP="009F2B9D">
      <w:pPr>
        <w:autoSpaceDE w:val="0"/>
        <w:autoSpaceDN w:val="0"/>
        <w:adjustRightInd w:val="0"/>
        <w:spacing w:after="0" w:line="240" w:lineRule="auto"/>
        <w:rPr>
          <w:rFonts w:ascii="Intro-Book" w:hAnsi="Intro-Book" w:cs="Intro-Book"/>
          <w:color w:val="242021"/>
          <w:sz w:val="20"/>
          <w:szCs w:val="20"/>
        </w:rPr>
      </w:pPr>
      <w:r>
        <w:rPr>
          <w:noProof/>
          <w:lang w:eastAsia="es-MX"/>
        </w:rPr>
        <w:drawing>
          <wp:inline distT="0" distB="0" distL="0" distR="0" wp14:anchorId="73E9480C" wp14:editId="03ED854F">
            <wp:extent cx="4886325" cy="2619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692" t="10887" r="17351" b="31349"/>
                    <a:stretch/>
                  </pic:blipFill>
                  <pic:spPr bwMode="auto">
                    <a:xfrm>
                      <a:off x="0" y="0"/>
                      <a:ext cx="4897246" cy="2625229"/>
                    </a:xfrm>
                    <a:prstGeom prst="rect">
                      <a:avLst/>
                    </a:prstGeom>
                    <a:ln>
                      <a:noFill/>
                    </a:ln>
                    <a:extLst>
                      <a:ext uri="{53640926-AAD7-44D8-BBD7-CCE9431645EC}">
                        <a14:shadowObscured xmlns:a14="http://schemas.microsoft.com/office/drawing/2010/main"/>
                      </a:ext>
                    </a:extLst>
                  </pic:spPr>
                </pic:pic>
              </a:graphicData>
            </a:graphic>
          </wp:inline>
        </w:drawing>
      </w:r>
      <w:r w:rsidR="009F2B9D">
        <w:rPr>
          <w:rFonts w:ascii="Intro-Book" w:hAnsi="Intro-Book" w:cs="Intro-Book"/>
          <w:color w:val="242021"/>
          <w:sz w:val="20"/>
          <w:szCs w:val="20"/>
        </w:rPr>
        <w:t>.</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El elemento medular para medir el desarrollo social es la condición propia de la persona desde sus diferentes  ámbitos de desarrollo, que en su conjunto le permita un estado de satisfacción personal, comunitario y culmine en una mejor calidad de vida; con base en la información anteriormente presentada y en las conclusiones de la mesa de análisis del tema en cuestión, se puede concluir que a pesar de los avances que ha mostrado Guanajuato a través del tiempo en materia de rezago social y pobreza, aún persisten obstáculos significativos por vencer hacia el 2040.</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Abatir el déficit de infraestructura y servicios básicos.</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lastRenderedPageBreak/>
        <w:t xml:space="preserve">. </w:t>
      </w:r>
      <w:r>
        <w:rPr>
          <w:rFonts w:ascii="Intro-Book" w:hAnsi="Intro-Book" w:cs="Intro-Book"/>
          <w:color w:val="242021"/>
          <w:sz w:val="20"/>
          <w:szCs w:val="20"/>
        </w:rPr>
        <w:t>Incrementar la calidad y cobertura de los servicios de educación, salud y vivienda.</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Generar las oportunidades que permitan fortalecer las capacidades y competencias individuales de la población.</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Incrementar las opciones de ingreso y el ingreso mismo de la población en condición de pobreza.</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 xml:space="preserve">Desarrollar las capacidades </w:t>
      </w:r>
      <w:proofErr w:type="spellStart"/>
      <w:r>
        <w:rPr>
          <w:rFonts w:ascii="Intro-Book" w:hAnsi="Intro-Book" w:cs="Intro-Book"/>
          <w:color w:val="242021"/>
          <w:sz w:val="20"/>
          <w:szCs w:val="20"/>
        </w:rPr>
        <w:t>autogestivas</w:t>
      </w:r>
      <w:proofErr w:type="spellEnd"/>
      <w:r>
        <w:rPr>
          <w:rFonts w:ascii="Intro-Book" w:hAnsi="Intro-Book" w:cs="Intro-Book"/>
          <w:color w:val="242021"/>
          <w:sz w:val="20"/>
          <w:szCs w:val="20"/>
        </w:rPr>
        <w:t xml:space="preserve"> de la población.</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Fortalecer la cohesión social entre los habitantes del estado.</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Desarrollar programas sociales orientados a combatir las causas de la problemática identificada.</w:t>
      </w:r>
    </w:p>
    <w:p w:rsidR="00827CCC" w:rsidRDefault="00827CCC" w:rsidP="00827CCC">
      <w:pPr>
        <w:autoSpaceDE w:val="0"/>
        <w:autoSpaceDN w:val="0"/>
        <w:adjustRightInd w:val="0"/>
        <w:spacing w:after="0" w:line="240" w:lineRule="auto"/>
        <w:rPr>
          <w:rFonts w:ascii="Intro-Book" w:hAnsi="Intro-Book" w:cs="Intro-Book"/>
          <w:color w:val="242021"/>
          <w:sz w:val="20"/>
          <w:szCs w:val="20"/>
        </w:rPr>
      </w:pPr>
      <w:r>
        <w:rPr>
          <w:rFonts w:ascii="Wingdings-Regular" w:hAnsi="Wingdings-Regular" w:cs="Wingdings-Regular"/>
          <w:color w:val="EF3B75"/>
          <w:sz w:val="20"/>
          <w:szCs w:val="20"/>
        </w:rPr>
        <w:t xml:space="preserve">. </w:t>
      </w:r>
      <w:r>
        <w:rPr>
          <w:rFonts w:ascii="Intro-Book" w:hAnsi="Intro-Book" w:cs="Intro-Book"/>
          <w:color w:val="242021"/>
          <w:sz w:val="20"/>
          <w:szCs w:val="20"/>
        </w:rPr>
        <w:t>Incrementar la participación de la ciudadanía en el ámbito político y social.</w:t>
      </w:r>
    </w:p>
    <w:p w:rsidR="000655AE" w:rsidRDefault="000655AE" w:rsidP="00827CCC">
      <w:pPr>
        <w:autoSpaceDE w:val="0"/>
        <w:autoSpaceDN w:val="0"/>
        <w:adjustRightInd w:val="0"/>
        <w:spacing w:after="0" w:line="240" w:lineRule="auto"/>
        <w:rPr>
          <w:rFonts w:ascii="Intro-Book" w:hAnsi="Intro-Book" w:cs="Intro-Book"/>
          <w:color w:val="242021"/>
          <w:sz w:val="20"/>
          <w:szCs w:val="20"/>
        </w:rPr>
      </w:pPr>
    </w:p>
    <w:p w:rsidR="00827CCC" w:rsidRDefault="00827CCC" w:rsidP="00827CCC">
      <w:pPr>
        <w:autoSpaceDE w:val="0"/>
        <w:autoSpaceDN w:val="0"/>
        <w:adjustRightInd w:val="0"/>
        <w:spacing w:after="0" w:line="240" w:lineRule="auto"/>
        <w:rPr>
          <w:rFonts w:ascii="Intro-Bold" w:hAnsi="Intro-Bold" w:cs="Intro-Bold"/>
          <w:b/>
          <w:bCs/>
          <w:color w:val="1075BC"/>
          <w:sz w:val="26"/>
          <w:szCs w:val="26"/>
        </w:rPr>
      </w:pPr>
      <w:r>
        <w:rPr>
          <w:rFonts w:ascii="Intro-Bold" w:hAnsi="Intro-Bold" w:cs="Intro-Bold"/>
          <w:b/>
          <w:bCs/>
          <w:color w:val="1075BC"/>
          <w:sz w:val="26"/>
          <w:szCs w:val="26"/>
        </w:rPr>
        <w:t>1.1.2 La salud</w:t>
      </w:r>
    </w:p>
    <w:p w:rsidR="000655AE" w:rsidRDefault="000655AE" w:rsidP="000655AE">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En México, el derecho a la salud forma parte de los derechos sociales</w:t>
      </w:r>
      <w:proofErr w:type="gramStart"/>
      <w:r>
        <w:rPr>
          <w:rFonts w:ascii="Intro-Book" w:hAnsi="Intro-Book" w:cs="Intro-Book"/>
          <w:color w:val="242021"/>
          <w:sz w:val="20"/>
          <w:szCs w:val="20"/>
        </w:rPr>
        <w:t>,</w:t>
      </w:r>
      <w:r>
        <w:rPr>
          <w:rFonts w:ascii="Intro-Book" w:hAnsi="Intro-Book" w:cs="Intro-Book"/>
          <w:color w:val="034A77"/>
          <w:sz w:val="13"/>
          <w:szCs w:val="13"/>
        </w:rPr>
        <w:t>5</w:t>
      </w:r>
      <w:proofErr w:type="gramEnd"/>
      <w:r>
        <w:rPr>
          <w:rFonts w:ascii="Intro-Book" w:hAnsi="Intro-Book" w:cs="Intro-Book"/>
          <w:color w:val="034A77"/>
          <w:sz w:val="13"/>
          <w:szCs w:val="13"/>
        </w:rPr>
        <w:t xml:space="preserve"> </w:t>
      </w:r>
      <w:r>
        <w:rPr>
          <w:rFonts w:ascii="Intro-Book" w:hAnsi="Intro-Book" w:cs="Intro-Book"/>
          <w:color w:val="242021"/>
          <w:sz w:val="20"/>
          <w:szCs w:val="20"/>
        </w:rPr>
        <w:t>lo que obliga al Estado a garantizarlo y protegerlo ofreciendo una serie de prestaciones y medios necesarios para satisfacer las necesidades relativas a dicho derecho; es decir, el Estado interviene por medio de políticas gubernamentales, programas sociales o reformas legales, con el objeto de que el derecho a la salud pueda ejercerse plenamente.</w:t>
      </w:r>
    </w:p>
    <w:p w:rsidR="000655AE" w:rsidRDefault="000655AE" w:rsidP="000655AE">
      <w:pPr>
        <w:autoSpaceDE w:val="0"/>
        <w:autoSpaceDN w:val="0"/>
        <w:adjustRightInd w:val="0"/>
        <w:spacing w:after="0" w:line="240" w:lineRule="auto"/>
        <w:rPr>
          <w:rFonts w:ascii="Intro-Book" w:hAnsi="Intro-Book" w:cs="Intro-Book"/>
          <w:color w:val="242021"/>
          <w:sz w:val="20"/>
          <w:szCs w:val="20"/>
        </w:rPr>
      </w:pPr>
      <w:r>
        <w:rPr>
          <w:rFonts w:ascii="Intro-Book" w:hAnsi="Intro-Book" w:cs="Intro-Book"/>
          <w:color w:val="242021"/>
          <w:sz w:val="20"/>
          <w:szCs w:val="20"/>
        </w:rPr>
        <w:t>La protección de la salud en Guanajuato avanza hacia la igualdad de oportunidades y el respeto considerando</w:t>
      </w:r>
    </w:p>
    <w:p w:rsidR="000655AE" w:rsidRDefault="000655AE" w:rsidP="000655AE">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t>las</w:t>
      </w:r>
      <w:proofErr w:type="gramEnd"/>
      <w:r>
        <w:rPr>
          <w:rFonts w:ascii="Intro-Book" w:hAnsi="Intro-Book" w:cs="Intro-Book"/>
          <w:color w:val="242021"/>
          <w:sz w:val="20"/>
          <w:szCs w:val="20"/>
        </w:rPr>
        <w:t xml:space="preserve"> diferencias biológicas entre mujeres y hombres, así como las desigualdades sociales derivadas del</w:t>
      </w:r>
    </w:p>
    <w:p w:rsidR="000655AE" w:rsidRDefault="000655AE" w:rsidP="000655AE">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t>sistema</w:t>
      </w:r>
      <w:proofErr w:type="gramEnd"/>
      <w:r>
        <w:rPr>
          <w:rFonts w:ascii="Intro-Book" w:hAnsi="Intro-Book" w:cs="Intro-Book"/>
          <w:color w:val="242021"/>
          <w:sz w:val="20"/>
          <w:szCs w:val="20"/>
        </w:rPr>
        <w:t xml:space="preserve"> tradicional de género, con la finalidad de reducir el impacto nocivo sobre la salud de las mujeres y</w:t>
      </w:r>
    </w:p>
    <w:p w:rsidR="000655AE" w:rsidRDefault="000655AE" w:rsidP="000655AE">
      <w:pPr>
        <w:autoSpaceDE w:val="0"/>
        <w:autoSpaceDN w:val="0"/>
        <w:adjustRightInd w:val="0"/>
        <w:spacing w:after="0" w:line="240" w:lineRule="auto"/>
        <w:rPr>
          <w:rFonts w:ascii="Intro-Book" w:hAnsi="Intro-Book" w:cs="Intro-Book"/>
          <w:color w:val="242021"/>
          <w:sz w:val="20"/>
          <w:szCs w:val="20"/>
        </w:rPr>
      </w:pPr>
      <w:proofErr w:type="gramStart"/>
      <w:r>
        <w:rPr>
          <w:rFonts w:ascii="Intro-Book" w:hAnsi="Intro-Book" w:cs="Intro-Book"/>
          <w:color w:val="242021"/>
          <w:sz w:val="20"/>
          <w:szCs w:val="20"/>
        </w:rPr>
        <w:t>los</w:t>
      </w:r>
      <w:proofErr w:type="gramEnd"/>
      <w:r>
        <w:rPr>
          <w:rFonts w:ascii="Intro-Book" w:hAnsi="Intro-Book" w:cs="Intro-Book"/>
          <w:color w:val="242021"/>
          <w:sz w:val="20"/>
          <w:szCs w:val="20"/>
        </w:rPr>
        <w:t xml:space="preserve"> hombres determinado por los roles, estereotipos y relaciones desiguales de género</w:t>
      </w:r>
    </w:p>
    <w:p w:rsidR="000655AE" w:rsidRDefault="000655AE" w:rsidP="000655AE">
      <w:pPr>
        <w:autoSpaceDE w:val="0"/>
        <w:autoSpaceDN w:val="0"/>
        <w:adjustRightInd w:val="0"/>
        <w:spacing w:after="0" w:line="240" w:lineRule="auto"/>
        <w:rPr>
          <w:rFonts w:ascii="Intro-Book" w:hAnsi="Intro-Book" w:cs="Intro-Book"/>
          <w:color w:val="24408F"/>
          <w:sz w:val="24"/>
          <w:szCs w:val="24"/>
        </w:rPr>
      </w:pPr>
      <w:r>
        <w:rPr>
          <w:rFonts w:ascii="Intro-Book" w:hAnsi="Intro-Book" w:cs="Intro-Book"/>
          <w:color w:val="24408F"/>
          <w:sz w:val="24"/>
          <w:szCs w:val="24"/>
        </w:rPr>
        <w:t>1.1.2.1 Situación actual de la salud</w:t>
      </w:r>
    </w:p>
    <w:p w:rsidR="00253AA2" w:rsidRPr="00253AA2" w:rsidRDefault="00253AA2" w:rsidP="000655AE">
      <w:pPr>
        <w:autoSpaceDE w:val="0"/>
        <w:autoSpaceDN w:val="0"/>
        <w:adjustRightInd w:val="0"/>
        <w:spacing w:after="0" w:line="240" w:lineRule="auto"/>
        <w:rPr>
          <w:rFonts w:ascii="Intro-Book" w:hAnsi="Intro-Book" w:cs="Intro-Book"/>
          <w:color w:val="FF0000"/>
          <w:sz w:val="24"/>
          <w:szCs w:val="24"/>
        </w:rPr>
      </w:pPr>
      <w:proofErr w:type="gramStart"/>
      <w:r w:rsidRPr="00253AA2">
        <w:rPr>
          <w:rFonts w:ascii="Intro-Book" w:hAnsi="Intro-Book" w:cs="Intro-Book"/>
          <w:color w:val="FF0000"/>
          <w:sz w:val="24"/>
          <w:szCs w:val="24"/>
        </w:rPr>
        <w:t>salud</w:t>
      </w:r>
      <w:proofErr w:type="gramEnd"/>
    </w:p>
    <w:p w:rsidR="00253AA2" w:rsidRDefault="00253AA2" w:rsidP="000655AE">
      <w:pPr>
        <w:autoSpaceDE w:val="0"/>
        <w:autoSpaceDN w:val="0"/>
        <w:adjustRightInd w:val="0"/>
        <w:spacing w:after="0" w:line="240" w:lineRule="auto"/>
        <w:rPr>
          <w:rFonts w:ascii="Intro-Book" w:hAnsi="Intro-Book" w:cs="Intro-Book"/>
          <w:color w:val="24408F"/>
          <w:sz w:val="24"/>
          <w:szCs w:val="24"/>
        </w:rPr>
      </w:pPr>
    </w:p>
    <w:p w:rsidR="00253AA2" w:rsidRDefault="00253AA2" w:rsidP="000655AE">
      <w:pPr>
        <w:autoSpaceDE w:val="0"/>
        <w:autoSpaceDN w:val="0"/>
        <w:adjustRightInd w:val="0"/>
        <w:spacing w:after="0" w:line="240" w:lineRule="auto"/>
        <w:rPr>
          <w:rFonts w:ascii="Arial" w:hAnsi="Arial" w:cs="Arial"/>
          <w:sz w:val="25"/>
          <w:szCs w:val="25"/>
        </w:rPr>
      </w:pPr>
      <w:r>
        <w:rPr>
          <w:rFonts w:ascii="Arial" w:hAnsi="Arial" w:cs="Arial"/>
          <w:sz w:val="25"/>
          <w:szCs w:val="25"/>
        </w:rPr>
        <w:t>Para 2017</w:t>
      </w:r>
      <w:proofErr w:type="gramStart"/>
      <w:r>
        <w:rPr>
          <w:rFonts w:ascii="Arial" w:hAnsi="Arial" w:cs="Arial"/>
          <w:sz w:val="25"/>
          <w:szCs w:val="25"/>
        </w:rPr>
        <w:t>,de</w:t>
      </w:r>
      <w:proofErr w:type="gramEnd"/>
      <w:r>
        <w:rPr>
          <w:rFonts w:ascii="Arial" w:hAnsi="Arial" w:cs="Arial"/>
          <w:sz w:val="25"/>
          <w:szCs w:val="25"/>
        </w:rPr>
        <w:t xml:space="preserve"> acuerdo </w:t>
      </w:r>
      <w:proofErr w:type="spellStart"/>
      <w:r>
        <w:rPr>
          <w:rFonts w:ascii="Arial" w:hAnsi="Arial" w:cs="Arial"/>
          <w:sz w:val="25"/>
          <w:szCs w:val="25"/>
        </w:rPr>
        <w:t>conlas</w:t>
      </w:r>
      <w:proofErr w:type="spellEnd"/>
      <w:r>
        <w:rPr>
          <w:rFonts w:ascii="Arial" w:hAnsi="Arial" w:cs="Arial"/>
          <w:sz w:val="25"/>
          <w:szCs w:val="25"/>
        </w:rPr>
        <w:t xml:space="preserve"> proyecciones de la CONAPO-DGIS, 3 millones 528 mil 16 habitantes están bajo la responsabilidad de la Secretaría de Salud, es decir,59.7% de la población. En cuanto </w:t>
      </w:r>
      <w:proofErr w:type="spellStart"/>
      <w:r>
        <w:rPr>
          <w:rFonts w:ascii="Arial" w:hAnsi="Arial" w:cs="Arial"/>
          <w:sz w:val="25"/>
          <w:szCs w:val="25"/>
        </w:rPr>
        <w:t>alsistema</w:t>
      </w:r>
      <w:proofErr w:type="spellEnd"/>
      <w:r>
        <w:rPr>
          <w:rFonts w:ascii="Arial" w:hAnsi="Arial" w:cs="Arial"/>
          <w:sz w:val="25"/>
          <w:szCs w:val="25"/>
        </w:rPr>
        <w:t xml:space="preserve"> de protección se refiere, al corte de junio de 2017 se reportaban 3 millones 11 mil 26 habitantes afiliados al Seguro Popular, lo que equivale a 85% de cobertura en esta modalidad. El resto de la población que cuenta con alguna protección en salud se ilustra en la siguiente tabla.</w:t>
      </w:r>
    </w:p>
    <w:p w:rsidR="00253AA2" w:rsidRDefault="00253AA2" w:rsidP="000655AE">
      <w:pPr>
        <w:autoSpaceDE w:val="0"/>
        <w:autoSpaceDN w:val="0"/>
        <w:adjustRightInd w:val="0"/>
        <w:spacing w:after="0" w:line="240" w:lineRule="auto"/>
        <w:rPr>
          <w:rFonts w:ascii="Arial" w:hAnsi="Arial" w:cs="Arial"/>
          <w:sz w:val="25"/>
          <w:szCs w:val="25"/>
        </w:rPr>
      </w:pPr>
    </w:p>
    <w:p w:rsidR="00253AA2" w:rsidRDefault="00253AA2" w:rsidP="000655AE">
      <w:pPr>
        <w:autoSpaceDE w:val="0"/>
        <w:autoSpaceDN w:val="0"/>
        <w:adjustRightInd w:val="0"/>
        <w:spacing w:after="0" w:line="240" w:lineRule="auto"/>
        <w:rPr>
          <w:rFonts w:ascii="Intro-Book" w:hAnsi="Intro-Book" w:cs="Intro-Book"/>
          <w:color w:val="FF0000"/>
          <w:sz w:val="20"/>
          <w:szCs w:val="20"/>
        </w:rPr>
      </w:pPr>
      <w:r>
        <w:rPr>
          <w:noProof/>
          <w:lang w:eastAsia="es-MX"/>
        </w:rPr>
        <w:lastRenderedPageBreak/>
        <w:drawing>
          <wp:inline distT="0" distB="0" distL="0" distR="0" wp14:anchorId="5DAF243E" wp14:editId="7A94919A">
            <wp:extent cx="4876800" cy="3124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905" t="24798" r="21942" b="29607"/>
                    <a:stretch/>
                  </pic:blipFill>
                  <pic:spPr bwMode="auto">
                    <a:xfrm>
                      <a:off x="0" y="0"/>
                      <a:ext cx="4887573" cy="3131101"/>
                    </a:xfrm>
                    <a:prstGeom prst="rect">
                      <a:avLst/>
                    </a:prstGeom>
                    <a:ln>
                      <a:noFill/>
                    </a:ln>
                    <a:extLst>
                      <a:ext uri="{53640926-AAD7-44D8-BBD7-CCE9431645EC}">
                        <a14:shadowObscured xmlns:a14="http://schemas.microsoft.com/office/drawing/2010/main"/>
                      </a:ext>
                    </a:extLst>
                  </pic:spPr>
                </pic:pic>
              </a:graphicData>
            </a:graphic>
          </wp:inline>
        </w:drawing>
      </w:r>
    </w:p>
    <w:p w:rsidR="00253AA2" w:rsidRDefault="00253AA2" w:rsidP="000655AE">
      <w:pPr>
        <w:autoSpaceDE w:val="0"/>
        <w:autoSpaceDN w:val="0"/>
        <w:adjustRightInd w:val="0"/>
        <w:spacing w:after="0" w:line="240" w:lineRule="auto"/>
        <w:rPr>
          <w:rFonts w:ascii="Arial" w:hAnsi="Arial" w:cs="Arial"/>
          <w:color w:val="FF0000"/>
          <w:sz w:val="26"/>
          <w:szCs w:val="26"/>
        </w:rPr>
      </w:pPr>
      <w:r w:rsidRPr="00253AA2">
        <w:rPr>
          <w:rFonts w:ascii="Arial" w:hAnsi="Arial" w:cs="Arial"/>
          <w:color w:val="FF0000"/>
          <w:sz w:val="26"/>
          <w:szCs w:val="26"/>
        </w:rPr>
        <w:t>Capacidad instalada y capacidad resolutiva</w:t>
      </w:r>
    </w:p>
    <w:p w:rsidR="00253AA2" w:rsidRDefault="00253AA2" w:rsidP="000655AE">
      <w:pPr>
        <w:autoSpaceDE w:val="0"/>
        <w:autoSpaceDN w:val="0"/>
        <w:adjustRightInd w:val="0"/>
        <w:spacing w:after="0" w:line="240" w:lineRule="auto"/>
        <w:rPr>
          <w:rFonts w:ascii="Arial" w:hAnsi="Arial" w:cs="Arial"/>
          <w:sz w:val="25"/>
          <w:szCs w:val="25"/>
        </w:rPr>
      </w:pPr>
      <w:proofErr w:type="spellStart"/>
      <w:r>
        <w:rPr>
          <w:rFonts w:ascii="Arial" w:hAnsi="Arial" w:cs="Arial"/>
          <w:sz w:val="25"/>
          <w:szCs w:val="25"/>
        </w:rPr>
        <w:t>Conbase</w:t>
      </w:r>
      <w:proofErr w:type="spellEnd"/>
      <w:r>
        <w:rPr>
          <w:rFonts w:ascii="Arial" w:hAnsi="Arial" w:cs="Arial"/>
          <w:sz w:val="25"/>
          <w:szCs w:val="25"/>
        </w:rPr>
        <w:t xml:space="preserve"> </w:t>
      </w:r>
      <w:proofErr w:type="spellStart"/>
      <w:r>
        <w:rPr>
          <w:rFonts w:ascii="Arial" w:hAnsi="Arial" w:cs="Arial"/>
          <w:sz w:val="25"/>
          <w:szCs w:val="25"/>
        </w:rPr>
        <w:t>enla</w:t>
      </w:r>
      <w:proofErr w:type="spellEnd"/>
      <w:r>
        <w:rPr>
          <w:rFonts w:ascii="Arial" w:hAnsi="Arial" w:cs="Arial"/>
          <w:sz w:val="25"/>
          <w:szCs w:val="25"/>
        </w:rPr>
        <w:t xml:space="preserve"> disponibilidad de servicios de </w:t>
      </w:r>
      <w:proofErr w:type="spellStart"/>
      <w:r>
        <w:rPr>
          <w:rFonts w:ascii="Arial" w:hAnsi="Arial" w:cs="Arial"/>
          <w:sz w:val="25"/>
          <w:szCs w:val="25"/>
        </w:rPr>
        <w:t>salud</w:t>
      </w:r>
      <w:proofErr w:type="gramStart"/>
      <w:r>
        <w:rPr>
          <w:rFonts w:ascii="Arial" w:hAnsi="Arial" w:cs="Arial"/>
          <w:sz w:val="25"/>
          <w:szCs w:val="25"/>
        </w:rPr>
        <w:t>,se</w:t>
      </w:r>
      <w:proofErr w:type="spellEnd"/>
      <w:proofErr w:type="gramEnd"/>
      <w:r>
        <w:rPr>
          <w:rFonts w:ascii="Arial" w:hAnsi="Arial" w:cs="Arial"/>
          <w:sz w:val="25"/>
          <w:szCs w:val="25"/>
        </w:rPr>
        <w:t xml:space="preserve"> apoya en la puesta en marcha de las unidades médicas y hospitales mediante la existencia de los recursos materiales, humanos y presupuestarios necesarios para la atención a la salud de la población</w:t>
      </w:r>
    </w:p>
    <w:p w:rsidR="00253AA2" w:rsidRDefault="00253AA2" w:rsidP="000655AE">
      <w:pPr>
        <w:autoSpaceDE w:val="0"/>
        <w:autoSpaceDN w:val="0"/>
        <w:adjustRightInd w:val="0"/>
        <w:spacing w:after="0" w:line="240" w:lineRule="auto"/>
        <w:rPr>
          <w:rFonts w:ascii="Arial" w:hAnsi="Arial" w:cs="Arial"/>
          <w:sz w:val="25"/>
          <w:szCs w:val="25"/>
        </w:rPr>
      </w:pPr>
    </w:p>
    <w:p w:rsidR="00253AA2" w:rsidRDefault="00253AA2" w:rsidP="000655AE">
      <w:pPr>
        <w:autoSpaceDE w:val="0"/>
        <w:autoSpaceDN w:val="0"/>
        <w:adjustRightInd w:val="0"/>
        <w:spacing w:after="0" w:line="240" w:lineRule="auto"/>
        <w:rPr>
          <w:rFonts w:ascii="Intro-Book" w:hAnsi="Intro-Book" w:cs="Intro-Book"/>
          <w:color w:val="FF0000"/>
          <w:sz w:val="20"/>
          <w:szCs w:val="20"/>
        </w:rPr>
      </w:pPr>
      <w:r>
        <w:rPr>
          <w:noProof/>
          <w:lang w:eastAsia="es-MX"/>
        </w:rPr>
        <w:lastRenderedPageBreak/>
        <w:drawing>
          <wp:inline distT="0" distB="0" distL="0" distR="0" wp14:anchorId="5CA6D359" wp14:editId="7C3BF372">
            <wp:extent cx="4200525" cy="47339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005" t="13308" r="31163" b="4877"/>
                    <a:stretch/>
                  </pic:blipFill>
                  <pic:spPr bwMode="auto">
                    <a:xfrm>
                      <a:off x="0" y="0"/>
                      <a:ext cx="4210284" cy="4744923"/>
                    </a:xfrm>
                    <a:prstGeom prst="rect">
                      <a:avLst/>
                    </a:prstGeom>
                    <a:ln>
                      <a:noFill/>
                    </a:ln>
                    <a:extLst>
                      <a:ext uri="{53640926-AAD7-44D8-BBD7-CCE9431645EC}">
                        <a14:shadowObscured xmlns:a14="http://schemas.microsoft.com/office/drawing/2010/main"/>
                      </a:ext>
                    </a:extLst>
                  </pic:spPr>
                </pic:pic>
              </a:graphicData>
            </a:graphic>
          </wp:inline>
        </w:drawing>
      </w:r>
    </w:p>
    <w:p w:rsidR="00253AA2" w:rsidRDefault="00253AA2" w:rsidP="000655AE">
      <w:pPr>
        <w:autoSpaceDE w:val="0"/>
        <w:autoSpaceDN w:val="0"/>
        <w:adjustRightInd w:val="0"/>
        <w:spacing w:after="0" w:line="240" w:lineRule="auto"/>
        <w:rPr>
          <w:rFonts w:ascii="Intro-Book" w:hAnsi="Intro-Book" w:cs="Intro-Book"/>
          <w:color w:val="FF0000"/>
          <w:sz w:val="20"/>
          <w:szCs w:val="20"/>
        </w:rPr>
      </w:pPr>
    </w:p>
    <w:p w:rsidR="00253AA2" w:rsidRDefault="00253AA2" w:rsidP="000655AE">
      <w:pPr>
        <w:autoSpaceDE w:val="0"/>
        <w:autoSpaceDN w:val="0"/>
        <w:adjustRightInd w:val="0"/>
        <w:spacing w:after="0" w:line="240" w:lineRule="auto"/>
        <w:rPr>
          <w:rFonts w:ascii="Intro-Book" w:hAnsi="Intro-Book" w:cs="Intro-Book"/>
          <w:color w:val="FF0000"/>
          <w:sz w:val="20"/>
          <w:szCs w:val="20"/>
        </w:rPr>
      </w:pPr>
    </w:p>
    <w:p w:rsidR="00253AA2" w:rsidRDefault="00253AA2" w:rsidP="000655AE">
      <w:pPr>
        <w:autoSpaceDE w:val="0"/>
        <w:autoSpaceDN w:val="0"/>
        <w:adjustRightInd w:val="0"/>
        <w:spacing w:after="0" w:line="240" w:lineRule="auto"/>
        <w:rPr>
          <w:rFonts w:ascii="Intro-Book" w:hAnsi="Intro-Book" w:cs="Intro-Book"/>
          <w:color w:val="FF0000"/>
          <w:sz w:val="20"/>
          <w:szCs w:val="20"/>
        </w:rPr>
      </w:pPr>
      <w:r>
        <w:rPr>
          <w:rFonts w:ascii="Intro-Book" w:hAnsi="Intro-Book" w:cs="Intro-Book"/>
          <w:color w:val="FF0000"/>
          <w:sz w:val="20"/>
          <w:szCs w:val="20"/>
        </w:rPr>
        <w:t>UNIDADES DE SALUD EN APASEO EL GRANDE</w:t>
      </w:r>
    </w:p>
    <w:p w:rsidR="00253AA2" w:rsidRDefault="00253AA2" w:rsidP="000655AE">
      <w:pPr>
        <w:autoSpaceDE w:val="0"/>
        <w:autoSpaceDN w:val="0"/>
        <w:adjustRightInd w:val="0"/>
        <w:spacing w:after="0" w:line="240" w:lineRule="auto"/>
        <w:rPr>
          <w:rFonts w:ascii="Intro-Book" w:hAnsi="Intro-Book" w:cs="Intro-Book"/>
          <w:color w:val="FF0000"/>
          <w:sz w:val="20"/>
          <w:szCs w:val="20"/>
        </w:rPr>
      </w:pPr>
    </w:p>
    <w:p w:rsidR="00253AA2" w:rsidRDefault="00253AA2" w:rsidP="00253AA2">
      <w:pPr>
        <w:autoSpaceDE w:val="0"/>
        <w:autoSpaceDN w:val="0"/>
        <w:adjustRightInd w:val="0"/>
        <w:spacing w:after="0" w:line="240" w:lineRule="auto"/>
        <w:jc w:val="both"/>
        <w:rPr>
          <w:rFonts w:ascii="Intro-Book" w:hAnsi="Intro-Book" w:cs="Intro-Book"/>
          <w:color w:val="FF0000"/>
          <w:sz w:val="20"/>
          <w:szCs w:val="20"/>
        </w:rPr>
      </w:pPr>
    </w:p>
    <w:p w:rsidR="00253AA2" w:rsidRDefault="00253AA2" w:rsidP="00253AA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El Modelo de Atención a la Salud en el estado de Guanajuato que sustenta el acceso de los usuarios a los servicios de salud se basa en la articulación funcional de las diferentes unidades y </w:t>
      </w:r>
      <w:proofErr w:type="spellStart"/>
      <w:r>
        <w:rPr>
          <w:rFonts w:ascii="Arial" w:hAnsi="Arial" w:cs="Arial"/>
          <w:sz w:val="20"/>
          <w:szCs w:val="20"/>
        </w:rPr>
        <w:t>niveles</w:t>
      </w:r>
      <w:proofErr w:type="gramStart"/>
      <w:r>
        <w:rPr>
          <w:rFonts w:ascii="Arial" w:hAnsi="Arial" w:cs="Arial"/>
          <w:sz w:val="20"/>
          <w:szCs w:val="20"/>
        </w:rPr>
        <w:t>,conformando</w:t>
      </w:r>
      <w:proofErr w:type="spellEnd"/>
      <w:proofErr w:type="gramEnd"/>
      <w:r>
        <w:rPr>
          <w:rFonts w:ascii="Arial" w:hAnsi="Arial" w:cs="Arial"/>
          <w:sz w:val="20"/>
          <w:szCs w:val="20"/>
        </w:rPr>
        <w:t xml:space="preserve"> una Red de Servicios de Salud en el estado. Dicha red determina la cobertura poblacional, así como la capacidad resolutiva en su conjunto y en cada uno de los establecimientos que la conforman.</w:t>
      </w:r>
    </w:p>
    <w:p w:rsidR="00253AA2" w:rsidRDefault="00253AA2" w:rsidP="000655AE">
      <w:pPr>
        <w:autoSpaceDE w:val="0"/>
        <w:autoSpaceDN w:val="0"/>
        <w:adjustRightInd w:val="0"/>
        <w:spacing w:after="0" w:line="240" w:lineRule="auto"/>
        <w:rPr>
          <w:rFonts w:ascii="Intro-Book" w:hAnsi="Intro-Book" w:cs="Intro-Book"/>
          <w:color w:val="FF0000"/>
          <w:sz w:val="20"/>
          <w:szCs w:val="20"/>
        </w:rPr>
      </w:pPr>
      <w:r>
        <w:rPr>
          <w:noProof/>
          <w:lang w:eastAsia="es-MX"/>
        </w:rPr>
        <w:lastRenderedPageBreak/>
        <w:drawing>
          <wp:inline distT="0" distB="0" distL="0" distR="0" wp14:anchorId="1ABD3808" wp14:editId="3EBA082F">
            <wp:extent cx="4838700" cy="3019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851" t="21468" r="27891" b="36254"/>
                    <a:stretch/>
                  </pic:blipFill>
                  <pic:spPr bwMode="auto">
                    <a:xfrm>
                      <a:off x="0" y="0"/>
                      <a:ext cx="4848574" cy="3025587"/>
                    </a:xfrm>
                    <a:prstGeom prst="rect">
                      <a:avLst/>
                    </a:prstGeom>
                    <a:ln>
                      <a:noFill/>
                    </a:ln>
                    <a:extLst>
                      <a:ext uri="{53640926-AAD7-44D8-BBD7-CCE9431645EC}">
                        <a14:shadowObscured xmlns:a14="http://schemas.microsoft.com/office/drawing/2010/main"/>
                      </a:ext>
                    </a:extLst>
                  </pic:spPr>
                </pic:pic>
              </a:graphicData>
            </a:graphic>
          </wp:inline>
        </w:drawing>
      </w:r>
    </w:p>
    <w:p w:rsidR="00253AA2" w:rsidRDefault="00253AA2" w:rsidP="000655AE">
      <w:pPr>
        <w:autoSpaceDE w:val="0"/>
        <w:autoSpaceDN w:val="0"/>
        <w:adjustRightInd w:val="0"/>
        <w:spacing w:after="0" w:line="240" w:lineRule="auto"/>
        <w:rPr>
          <w:rFonts w:ascii="Arial" w:hAnsi="Arial" w:cs="Arial"/>
          <w:color w:val="FF0000"/>
          <w:sz w:val="21"/>
          <w:szCs w:val="21"/>
        </w:rPr>
      </w:pPr>
      <w:r w:rsidRPr="00253AA2">
        <w:rPr>
          <w:rFonts w:ascii="Arial" w:hAnsi="Arial" w:cs="Arial"/>
          <w:color w:val="FF0000"/>
          <w:sz w:val="21"/>
          <w:szCs w:val="21"/>
        </w:rPr>
        <w:t>Daños a la salud</w:t>
      </w:r>
    </w:p>
    <w:p w:rsidR="00253AA2" w:rsidRDefault="001404C5" w:rsidP="00C244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Las</w:t>
      </w:r>
      <w:r>
        <w:rPr>
          <w:rFonts w:ascii="Arial" w:hAnsi="Arial" w:cs="Arial"/>
          <w:sz w:val="20"/>
          <w:szCs w:val="20"/>
        </w:rPr>
        <w:t xml:space="preserve"> </w:t>
      </w:r>
      <w:r>
        <w:rPr>
          <w:rFonts w:ascii="Arial" w:hAnsi="Arial" w:cs="Arial"/>
          <w:sz w:val="20"/>
          <w:szCs w:val="20"/>
        </w:rPr>
        <w:t>enfermedades</w:t>
      </w:r>
      <w:r>
        <w:rPr>
          <w:rFonts w:ascii="Arial" w:hAnsi="Arial" w:cs="Arial"/>
          <w:sz w:val="20"/>
          <w:szCs w:val="20"/>
        </w:rPr>
        <w:t xml:space="preserve"> </w:t>
      </w:r>
      <w:r>
        <w:rPr>
          <w:rFonts w:ascii="Arial" w:hAnsi="Arial" w:cs="Arial"/>
          <w:sz w:val="20"/>
          <w:szCs w:val="20"/>
        </w:rPr>
        <w:t>más comunes</w:t>
      </w:r>
      <w:r>
        <w:rPr>
          <w:rFonts w:ascii="Arial" w:hAnsi="Arial" w:cs="Arial"/>
          <w:sz w:val="20"/>
          <w:szCs w:val="20"/>
        </w:rPr>
        <w:t xml:space="preserve"> </w:t>
      </w:r>
      <w:r>
        <w:rPr>
          <w:rFonts w:ascii="Arial" w:hAnsi="Arial" w:cs="Arial"/>
          <w:sz w:val="20"/>
          <w:szCs w:val="20"/>
        </w:rPr>
        <w:t>son las asociadas con la Infección Respiratoria Aguda, IRA, con un total de 1 millón 218 mil casos</w:t>
      </w:r>
      <w:r>
        <w:rPr>
          <w:rFonts w:ascii="Arial" w:hAnsi="Arial" w:cs="Arial"/>
          <w:sz w:val="20"/>
          <w:szCs w:val="20"/>
        </w:rPr>
        <w:t xml:space="preserve"> </w:t>
      </w:r>
      <w:r>
        <w:rPr>
          <w:rFonts w:ascii="Arial" w:hAnsi="Arial" w:cs="Arial"/>
          <w:sz w:val="20"/>
          <w:szCs w:val="20"/>
        </w:rPr>
        <w:t>los cuales representan 59.8% de las nuevas enfermedades registradas en la entidad en ese año;</w:t>
      </w:r>
      <w:r>
        <w:rPr>
          <w:rFonts w:ascii="Arial" w:hAnsi="Arial" w:cs="Arial"/>
          <w:sz w:val="20"/>
          <w:szCs w:val="20"/>
        </w:rPr>
        <w:t xml:space="preserve"> </w:t>
      </w:r>
      <w:r>
        <w:rPr>
          <w:rFonts w:ascii="Arial" w:hAnsi="Arial" w:cs="Arial"/>
          <w:sz w:val="20"/>
          <w:szCs w:val="20"/>
        </w:rPr>
        <w:t xml:space="preserve">es decir, 6 de cada 10 casos corresponden a las </w:t>
      </w:r>
      <w:proofErr w:type="spellStart"/>
      <w:r>
        <w:rPr>
          <w:rFonts w:ascii="Arial" w:hAnsi="Arial" w:cs="Arial"/>
          <w:sz w:val="20"/>
          <w:szCs w:val="20"/>
        </w:rPr>
        <w:t>IRA.En</w:t>
      </w:r>
      <w:proofErr w:type="spellEnd"/>
      <w:r>
        <w:rPr>
          <w:rFonts w:ascii="Arial" w:hAnsi="Arial" w:cs="Arial"/>
          <w:sz w:val="20"/>
          <w:szCs w:val="20"/>
        </w:rPr>
        <w:t xml:space="preserve"> segundo lugar de frecuencia están las infecciones intestinales con 200 mil 21 casos y 9.8% de la distribución porcentual; en estas patologías el grupo etario más vulnerable es el de 0a 4 años, por el riesgo de complicaciones que pudieran incluso causar la muerte del </w:t>
      </w:r>
      <w:proofErr w:type="spellStart"/>
      <w:r>
        <w:rPr>
          <w:rFonts w:ascii="Arial" w:hAnsi="Arial" w:cs="Arial"/>
          <w:sz w:val="20"/>
          <w:szCs w:val="20"/>
        </w:rPr>
        <w:t>menor.Con</w:t>
      </w:r>
      <w:proofErr w:type="spellEnd"/>
      <w:r>
        <w:rPr>
          <w:rFonts w:ascii="Arial" w:hAnsi="Arial" w:cs="Arial"/>
          <w:sz w:val="20"/>
          <w:szCs w:val="20"/>
        </w:rPr>
        <w:t xml:space="preserve"> relación a las causas de enfermedad presentadas en el estado, comparándolas con las que se tienen a nivel nacional, se observa que presentan el mismo orden de frecuencia, excepto el dengue no </w:t>
      </w:r>
      <w:proofErr w:type="spellStart"/>
      <w:r>
        <w:rPr>
          <w:rFonts w:ascii="Arial" w:hAnsi="Arial" w:cs="Arial"/>
          <w:sz w:val="20"/>
          <w:szCs w:val="20"/>
        </w:rPr>
        <w:t>grave,del</w:t>
      </w:r>
      <w:proofErr w:type="spellEnd"/>
      <w:r>
        <w:rPr>
          <w:rFonts w:ascii="Arial" w:hAnsi="Arial" w:cs="Arial"/>
          <w:sz w:val="20"/>
          <w:szCs w:val="20"/>
        </w:rPr>
        <w:t xml:space="preserve"> cual se tiene una incidencia acumulada de 271.7 casos por cada 100 mil </w:t>
      </w:r>
      <w:proofErr w:type="spellStart"/>
      <w:r>
        <w:rPr>
          <w:rFonts w:ascii="Arial" w:hAnsi="Arial" w:cs="Arial"/>
          <w:sz w:val="20"/>
          <w:szCs w:val="20"/>
        </w:rPr>
        <w:t>habitantes,siendo</w:t>
      </w:r>
      <w:proofErr w:type="spellEnd"/>
      <w:r>
        <w:rPr>
          <w:rFonts w:ascii="Arial" w:hAnsi="Arial" w:cs="Arial"/>
          <w:sz w:val="20"/>
          <w:szCs w:val="20"/>
        </w:rPr>
        <w:t xml:space="preserve"> ésta mayor que la </w:t>
      </w:r>
      <w:proofErr w:type="spellStart"/>
      <w:r>
        <w:rPr>
          <w:rFonts w:ascii="Arial" w:hAnsi="Arial" w:cs="Arial"/>
          <w:sz w:val="20"/>
          <w:szCs w:val="20"/>
        </w:rPr>
        <w:t>nacional.En</w:t>
      </w:r>
      <w:proofErr w:type="spellEnd"/>
      <w:r>
        <w:rPr>
          <w:rFonts w:ascii="Arial" w:hAnsi="Arial" w:cs="Arial"/>
          <w:sz w:val="20"/>
          <w:szCs w:val="20"/>
        </w:rPr>
        <w:t xml:space="preserve"> una situación similar se encuentra el diagnóstico de violencia intrafamiliar; específicamente se conocen los municipios y localidades del estado donde se presentan con mayor </w:t>
      </w:r>
      <w:proofErr w:type="spellStart"/>
      <w:r>
        <w:rPr>
          <w:rFonts w:ascii="Arial" w:hAnsi="Arial" w:cs="Arial"/>
          <w:sz w:val="20"/>
          <w:szCs w:val="20"/>
        </w:rPr>
        <w:t>frecuenciaestas</w:t>
      </w:r>
      <w:proofErr w:type="spellEnd"/>
      <w:r>
        <w:rPr>
          <w:rFonts w:ascii="Arial" w:hAnsi="Arial" w:cs="Arial"/>
          <w:sz w:val="20"/>
          <w:szCs w:val="20"/>
        </w:rPr>
        <w:t xml:space="preserve"> </w:t>
      </w:r>
      <w:proofErr w:type="spellStart"/>
      <w:r>
        <w:rPr>
          <w:rFonts w:ascii="Arial" w:hAnsi="Arial" w:cs="Arial"/>
          <w:sz w:val="20"/>
          <w:szCs w:val="20"/>
        </w:rPr>
        <w:t>patologías.La</w:t>
      </w:r>
      <w:proofErr w:type="spellEnd"/>
      <w:r>
        <w:rPr>
          <w:rFonts w:ascii="Arial" w:hAnsi="Arial" w:cs="Arial"/>
          <w:sz w:val="20"/>
          <w:szCs w:val="20"/>
        </w:rPr>
        <w:t xml:space="preserve"> influenza también presentó una frecuencia mayor que la existente a nivel nacional, sin embargo, ésta es periódica, y la comparación que se realizó es contra la frecuencia nacional de 2015, por lo que pudiera haber un sesgo en los resultados</w:t>
      </w:r>
      <w:r w:rsidR="00C2444E">
        <w:rPr>
          <w:rFonts w:ascii="Arial" w:hAnsi="Arial" w:cs="Arial"/>
          <w:sz w:val="20"/>
          <w:szCs w:val="20"/>
        </w:rPr>
        <w:t>.</w:t>
      </w:r>
    </w:p>
    <w:p w:rsidR="00C2444E" w:rsidRDefault="00C2444E" w:rsidP="00C2444E">
      <w:pPr>
        <w:autoSpaceDE w:val="0"/>
        <w:autoSpaceDN w:val="0"/>
        <w:adjustRightInd w:val="0"/>
        <w:spacing w:after="0" w:line="240" w:lineRule="auto"/>
        <w:jc w:val="both"/>
        <w:rPr>
          <w:rFonts w:ascii="Arial" w:hAnsi="Arial" w:cs="Arial"/>
          <w:sz w:val="20"/>
          <w:szCs w:val="20"/>
        </w:rPr>
      </w:pPr>
    </w:p>
    <w:p w:rsidR="00C2444E" w:rsidRDefault="00C2444E" w:rsidP="00C2444E">
      <w:pPr>
        <w:autoSpaceDE w:val="0"/>
        <w:autoSpaceDN w:val="0"/>
        <w:adjustRightInd w:val="0"/>
        <w:spacing w:after="0" w:line="240" w:lineRule="auto"/>
        <w:jc w:val="both"/>
        <w:rPr>
          <w:rFonts w:ascii="Intro-Book" w:hAnsi="Intro-Book" w:cs="Intro-Book"/>
          <w:color w:val="FF0000"/>
          <w:sz w:val="20"/>
          <w:szCs w:val="20"/>
        </w:rPr>
      </w:pPr>
      <w:r>
        <w:rPr>
          <w:noProof/>
          <w:lang w:eastAsia="es-MX"/>
        </w:rPr>
        <w:lastRenderedPageBreak/>
        <w:drawing>
          <wp:inline distT="0" distB="0" distL="0" distR="0" wp14:anchorId="0D5E50F3" wp14:editId="51296863">
            <wp:extent cx="4981575" cy="3228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231" t="10884" r="28061" b="33838"/>
                    <a:stretch/>
                  </pic:blipFill>
                  <pic:spPr bwMode="auto">
                    <a:xfrm>
                      <a:off x="0" y="0"/>
                      <a:ext cx="4991742" cy="3235565"/>
                    </a:xfrm>
                    <a:prstGeom prst="rect">
                      <a:avLst/>
                    </a:prstGeom>
                    <a:ln>
                      <a:noFill/>
                    </a:ln>
                    <a:extLst>
                      <a:ext uri="{53640926-AAD7-44D8-BBD7-CCE9431645EC}">
                        <a14:shadowObscured xmlns:a14="http://schemas.microsoft.com/office/drawing/2010/main"/>
                      </a:ext>
                    </a:extLst>
                  </pic:spPr>
                </pic:pic>
              </a:graphicData>
            </a:graphic>
          </wp:inline>
        </w:drawing>
      </w:r>
    </w:p>
    <w:p w:rsidR="00C2444E" w:rsidRDefault="00C2444E" w:rsidP="00C2444E">
      <w:pPr>
        <w:autoSpaceDE w:val="0"/>
        <w:autoSpaceDN w:val="0"/>
        <w:adjustRightInd w:val="0"/>
        <w:spacing w:after="0" w:line="240" w:lineRule="auto"/>
        <w:jc w:val="both"/>
        <w:rPr>
          <w:rFonts w:ascii="Intro-Book" w:hAnsi="Intro-Book" w:cs="Intro-Book"/>
          <w:color w:val="FF0000"/>
          <w:sz w:val="20"/>
          <w:szCs w:val="20"/>
        </w:rPr>
      </w:pPr>
      <w:r>
        <w:rPr>
          <w:noProof/>
          <w:lang w:eastAsia="es-MX"/>
        </w:rPr>
        <w:drawing>
          <wp:inline distT="0" distB="0" distL="0" distR="0" wp14:anchorId="1DC7F4DB" wp14:editId="07C65D11">
            <wp:extent cx="4810125" cy="2143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042" t="35650" r="29770" b="34954"/>
                    <a:stretch/>
                  </pic:blipFill>
                  <pic:spPr bwMode="auto">
                    <a:xfrm>
                      <a:off x="0" y="0"/>
                      <a:ext cx="4819940" cy="2147498"/>
                    </a:xfrm>
                    <a:prstGeom prst="rect">
                      <a:avLst/>
                    </a:prstGeom>
                    <a:ln>
                      <a:noFill/>
                    </a:ln>
                    <a:extLst>
                      <a:ext uri="{53640926-AAD7-44D8-BBD7-CCE9431645EC}">
                        <a14:shadowObscured xmlns:a14="http://schemas.microsoft.com/office/drawing/2010/main"/>
                      </a:ext>
                    </a:extLst>
                  </pic:spPr>
                </pic:pic>
              </a:graphicData>
            </a:graphic>
          </wp:inline>
        </w:drawing>
      </w:r>
    </w:p>
    <w:p w:rsidR="00AB59A2" w:rsidRPr="00AB59A2" w:rsidRDefault="00AB59A2" w:rsidP="00C2444E">
      <w:pPr>
        <w:autoSpaceDE w:val="0"/>
        <w:autoSpaceDN w:val="0"/>
        <w:adjustRightInd w:val="0"/>
        <w:spacing w:after="0" w:line="240" w:lineRule="auto"/>
        <w:jc w:val="both"/>
        <w:rPr>
          <w:rFonts w:ascii="Intro-Book" w:hAnsi="Intro-Book" w:cs="Intro-Book"/>
          <w:color w:val="FF0000"/>
          <w:sz w:val="20"/>
          <w:szCs w:val="20"/>
        </w:rPr>
      </w:pPr>
    </w:p>
    <w:p w:rsidR="00AB59A2" w:rsidRPr="00AB59A2" w:rsidRDefault="00AB59A2" w:rsidP="00C2444E">
      <w:pPr>
        <w:autoSpaceDE w:val="0"/>
        <w:autoSpaceDN w:val="0"/>
        <w:adjustRightInd w:val="0"/>
        <w:spacing w:after="0" w:line="240" w:lineRule="auto"/>
        <w:jc w:val="both"/>
        <w:rPr>
          <w:rFonts w:ascii="Arial" w:hAnsi="Arial" w:cs="Arial"/>
          <w:color w:val="FF0000"/>
          <w:sz w:val="21"/>
          <w:szCs w:val="21"/>
        </w:rPr>
      </w:pPr>
      <w:r w:rsidRPr="00AB59A2">
        <w:rPr>
          <w:rFonts w:ascii="Arial" w:hAnsi="Arial" w:cs="Arial"/>
          <w:color w:val="FF0000"/>
          <w:sz w:val="21"/>
          <w:szCs w:val="21"/>
        </w:rPr>
        <w:t>Mortalidad</w:t>
      </w:r>
    </w:p>
    <w:p w:rsidR="00AB59A2" w:rsidRDefault="00AB59A2" w:rsidP="00C2444E">
      <w:pPr>
        <w:autoSpaceDE w:val="0"/>
        <w:autoSpaceDN w:val="0"/>
        <w:adjustRightInd w:val="0"/>
        <w:spacing w:after="0" w:line="240" w:lineRule="auto"/>
        <w:jc w:val="both"/>
        <w:rPr>
          <w:rFonts w:ascii="Intro-Book" w:hAnsi="Intro-Book" w:cs="Intro-Book"/>
          <w:color w:val="FF0000"/>
          <w:sz w:val="20"/>
          <w:szCs w:val="20"/>
        </w:rPr>
      </w:pPr>
    </w:p>
    <w:p w:rsidR="00AB59A2" w:rsidRDefault="00AB59A2" w:rsidP="00C2444E">
      <w:pPr>
        <w:autoSpaceDE w:val="0"/>
        <w:autoSpaceDN w:val="0"/>
        <w:adjustRightInd w:val="0"/>
        <w:spacing w:after="0" w:line="240" w:lineRule="auto"/>
        <w:jc w:val="both"/>
        <w:rPr>
          <w:rFonts w:ascii="Arial" w:hAnsi="Arial" w:cs="Arial"/>
        </w:rPr>
      </w:pPr>
      <w:r>
        <w:rPr>
          <w:rFonts w:ascii="Arial" w:hAnsi="Arial" w:cs="Arial"/>
        </w:rPr>
        <w:t>Principales causas de mortalidad general</w:t>
      </w:r>
    </w:p>
    <w:p w:rsidR="00AB59A2" w:rsidRDefault="00AB59A2" w:rsidP="00C244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Durante 2016</w:t>
      </w:r>
      <w:proofErr w:type="gramStart"/>
      <w:r>
        <w:rPr>
          <w:rFonts w:ascii="Arial" w:hAnsi="Arial" w:cs="Arial"/>
          <w:sz w:val="20"/>
          <w:szCs w:val="20"/>
        </w:rPr>
        <w:t>,como</w:t>
      </w:r>
      <w:proofErr w:type="gramEnd"/>
      <w:r>
        <w:rPr>
          <w:rFonts w:ascii="Arial" w:hAnsi="Arial" w:cs="Arial"/>
          <w:sz w:val="20"/>
          <w:szCs w:val="20"/>
        </w:rPr>
        <w:t xml:space="preserve"> información </w:t>
      </w:r>
      <w:proofErr w:type="spellStart"/>
      <w:r>
        <w:rPr>
          <w:rFonts w:ascii="Arial" w:hAnsi="Arial" w:cs="Arial"/>
          <w:sz w:val="20"/>
          <w:szCs w:val="20"/>
        </w:rPr>
        <w:t>preliminar,en</w:t>
      </w:r>
      <w:proofErr w:type="spellEnd"/>
      <w:r>
        <w:rPr>
          <w:rFonts w:ascii="Arial" w:hAnsi="Arial" w:cs="Arial"/>
          <w:sz w:val="20"/>
          <w:szCs w:val="20"/>
        </w:rPr>
        <w:t xml:space="preserve"> el estado de Guanajuato se presentaron 31 mil 134 decesos, de los cuales 17 mil 252 correspondieron al sexo masculino y un total de 13mil 879al sexo femenino, colocando la tasa de mortalidad en 5.3por cada mil habitantes.</w:t>
      </w:r>
    </w:p>
    <w:p w:rsidR="00AB59A2" w:rsidRDefault="00AB59A2" w:rsidP="00C2444E">
      <w:pPr>
        <w:autoSpaceDE w:val="0"/>
        <w:autoSpaceDN w:val="0"/>
        <w:adjustRightInd w:val="0"/>
        <w:spacing w:after="0" w:line="240" w:lineRule="auto"/>
        <w:jc w:val="both"/>
        <w:rPr>
          <w:rFonts w:ascii="Intro-Book" w:hAnsi="Intro-Book" w:cs="Intro-Book"/>
          <w:color w:val="FF0000"/>
          <w:sz w:val="20"/>
          <w:szCs w:val="20"/>
        </w:rPr>
      </w:pPr>
      <w:r>
        <w:rPr>
          <w:noProof/>
          <w:lang w:eastAsia="es-MX"/>
        </w:rPr>
        <w:lastRenderedPageBreak/>
        <w:drawing>
          <wp:inline distT="0" distB="0" distL="0" distR="0" wp14:anchorId="45B46D69" wp14:editId="7C7AB80F">
            <wp:extent cx="4857750" cy="2800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078" t="23565" r="27730" b="22920"/>
                    <a:stretch/>
                  </pic:blipFill>
                  <pic:spPr bwMode="auto">
                    <a:xfrm>
                      <a:off x="0" y="0"/>
                      <a:ext cx="4863621" cy="2803734"/>
                    </a:xfrm>
                    <a:prstGeom prst="rect">
                      <a:avLst/>
                    </a:prstGeom>
                    <a:ln>
                      <a:noFill/>
                    </a:ln>
                    <a:extLst>
                      <a:ext uri="{53640926-AAD7-44D8-BBD7-CCE9431645EC}">
                        <a14:shadowObscured xmlns:a14="http://schemas.microsoft.com/office/drawing/2010/main"/>
                      </a:ext>
                    </a:extLst>
                  </pic:spPr>
                </pic:pic>
              </a:graphicData>
            </a:graphic>
          </wp:inline>
        </w:drawing>
      </w:r>
    </w:p>
    <w:p w:rsidR="00AB59A2" w:rsidRDefault="00AB59A2" w:rsidP="00C2444E">
      <w:pPr>
        <w:autoSpaceDE w:val="0"/>
        <w:autoSpaceDN w:val="0"/>
        <w:adjustRightInd w:val="0"/>
        <w:spacing w:after="0" w:line="240" w:lineRule="auto"/>
        <w:jc w:val="both"/>
        <w:rPr>
          <w:rFonts w:ascii="Intro-Book" w:hAnsi="Intro-Book" w:cs="Intro-Book"/>
          <w:color w:val="FF0000"/>
          <w:sz w:val="20"/>
          <w:szCs w:val="20"/>
        </w:rPr>
      </w:pPr>
      <w:r>
        <w:rPr>
          <w:noProof/>
          <w:lang w:eastAsia="es-MX"/>
        </w:rPr>
        <w:drawing>
          <wp:inline distT="0" distB="0" distL="0" distR="0" wp14:anchorId="75A73292" wp14:editId="4B5C61F0">
            <wp:extent cx="4886325" cy="1638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829" t="32024" r="26761" b="51662"/>
                    <a:stretch/>
                  </pic:blipFill>
                  <pic:spPr bwMode="auto">
                    <a:xfrm>
                      <a:off x="0" y="0"/>
                      <a:ext cx="4892234" cy="1640281"/>
                    </a:xfrm>
                    <a:prstGeom prst="rect">
                      <a:avLst/>
                    </a:prstGeom>
                    <a:ln>
                      <a:noFill/>
                    </a:ln>
                    <a:extLst>
                      <a:ext uri="{53640926-AAD7-44D8-BBD7-CCE9431645EC}">
                        <a14:shadowObscured xmlns:a14="http://schemas.microsoft.com/office/drawing/2010/main"/>
                      </a:ext>
                    </a:extLst>
                  </pic:spPr>
                </pic:pic>
              </a:graphicData>
            </a:graphic>
          </wp:inline>
        </w:drawing>
      </w:r>
    </w:p>
    <w:p w:rsidR="00AB59A2" w:rsidRDefault="00AB59A2" w:rsidP="00C244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Como puede observarse en la tabla I.8, la principal causa de muerte está asociada con las enfermedades del corazón, las cuales registraron un total de 6 mil 624 decesos, lo que representó 23.3% de los fallecimientos en la entidad, es decir, una de cada cuatro muertes en la entidad estuvo vinculada con las enfermedades cardiovasculares.</w:t>
      </w:r>
    </w:p>
    <w:p w:rsidR="00DE110C" w:rsidRDefault="00DE110C" w:rsidP="00C244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En el segundo lugar se encuentran la diabetes mellitus con un total de 5 mil 685 decesos que corresponden a 18.3% del total. Esto refleja múltiples factores de riesgo como los hereditarios, estilos de vida saludable, sedentarismo; los cuales se están </w:t>
      </w:r>
      <w:proofErr w:type="spellStart"/>
      <w:r>
        <w:rPr>
          <w:rFonts w:ascii="Arial" w:hAnsi="Arial" w:cs="Arial"/>
          <w:sz w:val="20"/>
          <w:szCs w:val="20"/>
        </w:rPr>
        <w:t>modificando.En</w:t>
      </w:r>
      <w:proofErr w:type="spellEnd"/>
      <w:r>
        <w:rPr>
          <w:rFonts w:ascii="Arial" w:hAnsi="Arial" w:cs="Arial"/>
          <w:sz w:val="20"/>
          <w:szCs w:val="20"/>
        </w:rPr>
        <w:t xml:space="preserve"> el periodo 2011-2015, la mortalidad por esta enfermedad por cada 100 mil habitantes aumentó 11.6 puntos en el ámbito nacional y 15.4 puntos en Guanajuato.</w:t>
      </w:r>
    </w:p>
    <w:p w:rsidR="00DE110C" w:rsidRDefault="00DE110C" w:rsidP="00C2444E">
      <w:pPr>
        <w:autoSpaceDE w:val="0"/>
        <w:autoSpaceDN w:val="0"/>
        <w:adjustRightInd w:val="0"/>
        <w:spacing w:after="0" w:line="240" w:lineRule="auto"/>
        <w:jc w:val="both"/>
        <w:rPr>
          <w:rFonts w:ascii="Intro-Book" w:hAnsi="Intro-Book" w:cs="Intro-Book"/>
          <w:color w:val="FF0000"/>
          <w:sz w:val="20"/>
          <w:szCs w:val="20"/>
        </w:rPr>
      </w:pPr>
      <w:r>
        <w:rPr>
          <w:noProof/>
          <w:lang w:eastAsia="es-MX"/>
        </w:rPr>
        <w:drawing>
          <wp:inline distT="0" distB="0" distL="0" distR="0" wp14:anchorId="6990DC00" wp14:editId="670DBD18">
            <wp:extent cx="5095875" cy="2324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531" t="31722" r="28231" b="27156"/>
                    <a:stretch/>
                  </pic:blipFill>
                  <pic:spPr bwMode="auto">
                    <a:xfrm>
                      <a:off x="0" y="0"/>
                      <a:ext cx="5106276" cy="2328844"/>
                    </a:xfrm>
                    <a:prstGeom prst="rect">
                      <a:avLst/>
                    </a:prstGeom>
                    <a:ln>
                      <a:noFill/>
                    </a:ln>
                    <a:extLst>
                      <a:ext uri="{53640926-AAD7-44D8-BBD7-CCE9431645EC}">
                        <a14:shadowObscured xmlns:a14="http://schemas.microsoft.com/office/drawing/2010/main"/>
                      </a:ext>
                    </a:extLst>
                  </pic:spPr>
                </pic:pic>
              </a:graphicData>
            </a:graphic>
          </wp:inline>
        </w:drawing>
      </w:r>
    </w:p>
    <w:p w:rsidR="002F0DDE" w:rsidRDefault="002F0DDE" w:rsidP="00C2444E">
      <w:pPr>
        <w:autoSpaceDE w:val="0"/>
        <w:autoSpaceDN w:val="0"/>
        <w:adjustRightInd w:val="0"/>
        <w:spacing w:after="0" w:line="240" w:lineRule="auto"/>
        <w:jc w:val="both"/>
        <w:rPr>
          <w:rFonts w:ascii="Intro-Book" w:hAnsi="Intro-Book" w:cs="Intro-Book"/>
          <w:color w:val="FF0000"/>
          <w:sz w:val="20"/>
          <w:szCs w:val="20"/>
        </w:rPr>
      </w:pPr>
    </w:p>
    <w:p w:rsidR="002F0DDE" w:rsidRPr="00253AA2" w:rsidRDefault="002F0DDE" w:rsidP="00C2444E">
      <w:pPr>
        <w:autoSpaceDE w:val="0"/>
        <w:autoSpaceDN w:val="0"/>
        <w:adjustRightInd w:val="0"/>
        <w:spacing w:after="0" w:line="240" w:lineRule="auto"/>
        <w:jc w:val="both"/>
        <w:rPr>
          <w:rFonts w:ascii="Intro-Book" w:hAnsi="Intro-Book" w:cs="Intro-Book"/>
          <w:color w:val="FF0000"/>
          <w:sz w:val="20"/>
          <w:szCs w:val="20"/>
        </w:rPr>
      </w:pPr>
      <w:bookmarkStart w:id="0" w:name="_GoBack"/>
      <w:bookmarkEnd w:id="0"/>
    </w:p>
    <w:sectPr w:rsidR="002F0DDE" w:rsidRPr="00253A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ro-Book">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Int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46D7"/>
    <w:multiLevelType w:val="multilevel"/>
    <w:tmpl w:val="B24200AC"/>
    <w:lvl w:ilvl="0">
      <w:start w:val="1"/>
      <w:numFmt w:val="decimal"/>
      <w:lvlText w:val="%1"/>
      <w:lvlJc w:val="left"/>
      <w:pPr>
        <w:ind w:left="555" w:hanging="555"/>
      </w:pPr>
      <w:rPr>
        <w:rFonts w:ascii="Arial" w:hAnsi="Arial" w:cs="Arial" w:hint="default"/>
        <w:sz w:val="26"/>
      </w:rPr>
    </w:lvl>
    <w:lvl w:ilvl="1">
      <w:start w:val="1"/>
      <w:numFmt w:val="decimal"/>
      <w:lvlText w:val="%1.%2"/>
      <w:lvlJc w:val="left"/>
      <w:pPr>
        <w:ind w:left="555" w:hanging="555"/>
      </w:pPr>
      <w:rPr>
        <w:rFonts w:ascii="Arial" w:hAnsi="Arial" w:cs="Arial" w:hint="default"/>
        <w:sz w:val="26"/>
      </w:rPr>
    </w:lvl>
    <w:lvl w:ilvl="2">
      <w:start w:val="3"/>
      <w:numFmt w:val="decimal"/>
      <w:lvlText w:val="%1.%2.%3"/>
      <w:lvlJc w:val="left"/>
      <w:pPr>
        <w:ind w:left="720" w:hanging="720"/>
      </w:pPr>
      <w:rPr>
        <w:rFonts w:ascii="Arial" w:hAnsi="Arial" w:cs="Arial" w:hint="default"/>
        <w:sz w:val="26"/>
      </w:rPr>
    </w:lvl>
    <w:lvl w:ilvl="3">
      <w:start w:val="1"/>
      <w:numFmt w:val="decimal"/>
      <w:lvlText w:val="%1.%2.%3.%4"/>
      <w:lvlJc w:val="left"/>
      <w:pPr>
        <w:ind w:left="720" w:hanging="720"/>
      </w:pPr>
      <w:rPr>
        <w:rFonts w:ascii="Arial" w:hAnsi="Arial" w:cs="Arial" w:hint="default"/>
        <w:sz w:val="26"/>
      </w:rPr>
    </w:lvl>
    <w:lvl w:ilvl="4">
      <w:start w:val="1"/>
      <w:numFmt w:val="decimal"/>
      <w:lvlText w:val="%1.%2.%3.%4.%5"/>
      <w:lvlJc w:val="left"/>
      <w:pPr>
        <w:ind w:left="1080" w:hanging="1080"/>
      </w:pPr>
      <w:rPr>
        <w:rFonts w:ascii="Arial" w:hAnsi="Arial" w:cs="Arial" w:hint="default"/>
        <w:sz w:val="26"/>
      </w:rPr>
    </w:lvl>
    <w:lvl w:ilvl="5">
      <w:start w:val="1"/>
      <w:numFmt w:val="decimal"/>
      <w:lvlText w:val="%1.%2.%3.%4.%5.%6"/>
      <w:lvlJc w:val="left"/>
      <w:pPr>
        <w:ind w:left="1080" w:hanging="1080"/>
      </w:pPr>
      <w:rPr>
        <w:rFonts w:ascii="Arial" w:hAnsi="Arial" w:cs="Arial" w:hint="default"/>
        <w:sz w:val="26"/>
      </w:rPr>
    </w:lvl>
    <w:lvl w:ilvl="6">
      <w:start w:val="1"/>
      <w:numFmt w:val="decimal"/>
      <w:lvlText w:val="%1.%2.%3.%4.%5.%6.%7"/>
      <w:lvlJc w:val="left"/>
      <w:pPr>
        <w:ind w:left="1440" w:hanging="1440"/>
      </w:pPr>
      <w:rPr>
        <w:rFonts w:ascii="Arial" w:hAnsi="Arial" w:cs="Arial" w:hint="default"/>
        <w:sz w:val="26"/>
      </w:rPr>
    </w:lvl>
    <w:lvl w:ilvl="7">
      <w:start w:val="1"/>
      <w:numFmt w:val="decimal"/>
      <w:lvlText w:val="%1.%2.%3.%4.%5.%6.%7.%8"/>
      <w:lvlJc w:val="left"/>
      <w:pPr>
        <w:ind w:left="1440" w:hanging="1440"/>
      </w:pPr>
      <w:rPr>
        <w:rFonts w:ascii="Arial" w:hAnsi="Arial" w:cs="Arial" w:hint="default"/>
        <w:sz w:val="26"/>
      </w:rPr>
    </w:lvl>
    <w:lvl w:ilvl="8">
      <w:start w:val="1"/>
      <w:numFmt w:val="decimal"/>
      <w:lvlText w:val="%1.%2.%3.%4.%5.%6.%7.%8.%9"/>
      <w:lvlJc w:val="left"/>
      <w:pPr>
        <w:ind w:left="1440" w:hanging="1440"/>
      </w:pPr>
      <w:rPr>
        <w:rFonts w:ascii="Arial" w:hAnsi="Arial" w:cs="Arial" w:hint="default"/>
        <w:sz w:val="26"/>
      </w:rPr>
    </w:lvl>
  </w:abstractNum>
  <w:abstractNum w:abstractNumId="1">
    <w:nsid w:val="2FE94A44"/>
    <w:multiLevelType w:val="multilevel"/>
    <w:tmpl w:val="B74A04CA"/>
    <w:lvl w:ilvl="0">
      <w:start w:val="2"/>
      <w:numFmt w:val="decimal"/>
      <w:lvlText w:val="%1."/>
      <w:lvlJc w:val="left"/>
      <w:pPr>
        <w:ind w:left="630" w:hanging="630"/>
      </w:pPr>
      <w:rPr>
        <w:rFonts w:ascii="Arial" w:hAnsi="Arial" w:cs="Arial" w:hint="default"/>
        <w:sz w:val="26"/>
      </w:rPr>
    </w:lvl>
    <w:lvl w:ilvl="1">
      <w:start w:val="2"/>
      <w:numFmt w:val="decimal"/>
      <w:lvlText w:val="%1.%2."/>
      <w:lvlJc w:val="left"/>
      <w:pPr>
        <w:ind w:left="630" w:hanging="630"/>
      </w:pPr>
      <w:rPr>
        <w:rFonts w:ascii="Arial" w:hAnsi="Arial" w:cs="Arial" w:hint="default"/>
        <w:sz w:val="26"/>
      </w:rPr>
    </w:lvl>
    <w:lvl w:ilvl="2">
      <w:start w:val="1"/>
      <w:numFmt w:val="decimal"/>
      <w:lvlText w:val="%1.%2.%3."/>
      <w:lvlJc w:val="left"/>
      <w:pPr>
        <w:ind w:left="720" w:hanging="720"/>
      </w:pPr>
      <w:rPr>
        <w:rFonts w:ascii="Arial" w:hAnsi="Arial" w:cs="Arial" w:hint="default"/>
        <w:sz w:val="26"/>
      </w:rPr>
    </w:lvl>
    <w:lvl w:ilvl="3">
      <w:start w:val="1"/>
      <w:numFmt w:val="decimal"/>
      <w:lvlText w:val="%1.%2.%3.%4."/>
      <w:lvlJc w:val="left"/>
      <w:pPr>
        <w:ind w:left="720" w:hanging="720"/>
      </w:pPr>
      <w:rPr>
        <w:rFonts w:ascii="Arial" w:hAnsi="Arial" w:cs="Arial" w:hint="default"/>
        <w:sz w:val="26"/>
      </w:rPr>
    </w:lvl>
    <w:lvl w:ilvl="4">
      <w:start w:val="1"/>
      <w:numFmt w:val="decimal"/>
      <w:lvlText w:val="%1.%2.%3.%4.%5."/>
      <w:lvlJc w:val="left"/>
      <w:pPr>
        <w:ind w:left="1080" w:hanging="1080"/>
      </w:pPr>
      <w:rPr>
        <w:rFonts w:ascii="Arial" w:hAnsi="Arial" w:cs="Arial" w:hint="default"/>
        <w:sz w:val="26"/>
      </w:rPr>
    </w:lvl>
    <w:lvl w:ilvl="5">
      <w:start w:val="1"/>
      <w:numFmt w:val="decimal"/>
      <w:lvlText w:val="%1.%2.%3.%4.%5.%6."/>
      <w:lvlJc w:val="left"/>
      <w:pPr>
        <w:ind w:left="1080" w:hanging="1080"/>
      </w:pPr>
      <w:rPr>
        <w:rFonts w:ascii="Arial" w:hAnsi="Arial" w:cs="Arial" w:hint="default"/>
        <w:sz w:val="26"/>
      </w:rPr>
    </w:lvl>
    <w:lvl w:ilvl="6">
      <w:start w:val="1"/>
      <w:numFmt w:val="decimal"/>
      <w:lvlText w:val="%1.%2.%3.%4.%5.%6.%7."/>
      <w:lvlJc w:val="left"/>
      <w:pPr>
        <w:ind w:left="1440" w:hanging="1440"/>
      </w:pPr>
      <w:rPr>
        <w:rFonts w:ascii="Arial" w:hAnsi="Arial" w:cs="Arial" w:hint="default"/>
        <w:sz w:val="26"/>
      </w:rPr>
    </w:lvl>
    <w:lvl w:ilvl="7">
      <w:start w:val="1"/>
      <w:numFmt w:val="decimal"/>
      <w:lvlText w:val="%1.%2.%3.%4.%5.%6.%7.%8."/>
      <w:lvlJc w:val="left"/>
      <w:pPr>
        <w:ind w:left="1440" w:hanging="1440"/>
      </w:pPr>
      <w:rPr>
        <w:rFonts w:ascii="Arial" w:hAnsi="Arial" w:cs="Arial" w:hint="default"/>
        <w:sz w:val="26"/>
      </w:rPr>
    </w:lvl>
    <w:lvl w:ilvl="8">
      <w:start w:val="1"/>
      <w:numFmt w:val="decimal"/>
      <w:lvlText w:val="%1.%2.%3.%4.%5.%6.%7.%8.%9."/>
      <w:lvlJc w:val="left"/>
      <w:pPr>
        <w:ind w:left="1800" w:hanging="1800"/>
      </w:pPr>
      <w:rPr>
        <w:rFonts w:ascii="Arial" w:hAnsi="Arial" w:cs="Arial" w:hint="default"/>
        <w:sz w:val="26"/>
      </w:rPr>
    </w:lvl>
  </w:abstractNum>
  <w:abstractNum w:abstractNumId="2">
    <w:nsid w:val="37A26F84"/>
    <w:multiLevelType w:val="hybridMultilevel"/>
    <w:tmpl w:val="4372F910"/>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nsid w:val="67405591"/>
    <w:multiLevelType w:val="multilevel"/>
    <w:tmpl w:val="DC903CCE"/>
    <w:lvl w:ilvl="0">
      <w:start w:val="2"/>
      <w:numFmt w:val="decimal"/>
      <w:lvlText w:val="%1"/>
      <w:lvlJc w:val="left"/>
      <w:pPr>
        <w:ind w:left="555" w:hanging="555"/>
      </w:pPr>
      <w:rPr>
        <w:rFonts w:ascii="Arial" w:hAnsi="Arial" w:cs="Arial" w:hint="default"/>
        <w:sz w:val="26"/>
      </w:rPr>
    </w:lvl>
    <w:lvl w:ilvl="1">
      <w:start w:val="1"/>
      <w:numFmt w:val="decimal"/>
      <w:lvlText w:val="%1.%2"/>
      <w:lvlJc w:val="left"/>
      <w:pPr>
        <w:ind w:left="555" w:hanging="555"/>
      </w:pPr>
      <w:rPr>
        <w:rFonts w:ascii="Arial" w:hAnsi="Arial" w:cs="Arial" w:hint="default"/>
        <w:sz w:val="26"/>
      </w:rPr>
    </w:lvl>
    <w:lvl w:ilvl="2">
      <w:start w:val="7"/>
      <w:numFmt w:val="decimal"/>
      <w:lvlText w:val="%1.%2.%3"/>
      <w:lvlJc w:val="left"/>
      <w:pPr>
        <w:ind w:left="720" w:hanging="720"/>
      </w:pPr>
      <w:rPr>
        <w:rFonts w:ascii="Arial" w:hAnsi="Arial" w:cs="Arial" w:hint="default"/>
        <w:sz w:val="26"/>
      </w:rPr>
    </w:lvl>
    <w:lvl w:ilvl="3">
      <w:start w:val="1"/>
      <w:numFmt w:val="decimal"/>
      <w:lvlText w:val="%1.%2.%3.%4"/>
      <w:lvlJc w:val="left"/>
      <w:pPr>
        <w:ind w:left="720" w:hanging="720"/>
      </w:pPr>
      <w:rPr>
        <w:rFonts w:ascii="Arial" w:hAnsi="Arial" w:cs="Arial" w:hint="default"/>
        <w:sz w:val="26"/>
      </w:rPr>
    </w:lvl>
    <w:lvl w:ilvl="4">
      <w:start w:val="1"/>
      <w:numFmt w:val="decimal"/>
      <w:lvlText w:val="%1.%2.%3.%4.%5"/>
      <w:lvlJc w:val="left"/>
      <w:pPr>
        <w:ind w:left="1080" w:hanging="1080"/>
      </w:pPr>
      <w:rPr>
        <w:rFonts w:ascii="Arial" w:hAnsi="Arial" w:cs="Arial" w:hint="default"/>
        <w:sz w:val="26"/>
      </w:rPr>
    </w:lvl>
    <w:lvl w:ilvl="5">
      <w:start w:val="1"/>
      <w:numFmt w:val="decimal"/>
      <w:lvlText w:val="%1.%2.%3.%4.%5.%6"/>
      <w:lvlJc w:val="left"/>
      <w:pPr>
        <w:ind w:left="1080" w:hanging="1080"/>
      </w:pPr>
      <w:rPr>
        <w:rFonts w:ascii="Arial" w:hAnsi="Arial" w:cs="Arial" w:hint="default"/>
        <w:sz w:val="26"/>
      </w:rPr>
    </w:lvl>
    <w:lvl w:ilvl="6">
      <w:start w:val="1"/>
      <w:numFmt w:val="decimal"/>
      <w:lvlText w:val="%1.%2.%3.%4.%5.%6.%7"/>
      <w:lvlJc w:val="left"/>
      <w:pPr>
        <w:ind w:left="1440" w:hanging="1440"/>
      </w:pPr>
      <w:rPr>
        <w:rFonts w:ascii="Arial" w:hAnsi="Arial" w:cs="Arial" w:hint="default"/>
        <w:sz w:val="26"/>
      </w:rPr>
    </w:lvl>
    <w:lvl w:ilvl="7">
      <w:start w:val="1"/>
      <w:numFmt w:val="decimal"/>
      <w:lvlText w:val="%1.%2.%3.%4.%5.%6.%7.%8"/>
      <w:lvlJc w:val="left"/>
      <w:pPr>
        <w:ind w:left="1440" w:hanging="1440"/>
      </w:pPr>
      <w:rPr>
        <w:rFonts w:ascii="Arial" w:hAnsi="Arial" w:cs="Arial" w:hint="default"/>
        <w:sz w:val="26"/>
      </w:rPr>
    </w:lvl>
    <w:lvl w:ilvl="8">
      <w:start w:val="1"/>
      <w:numFmt w:val="decimal"/>
      <w:lvlText w:val="%1.%2.%3.%4.%5.%6.%7.%8.%9"/>
      <w:lvlJc w:val="left"/>
      <w:pPr>
        <w:ind w:left="1440" w:hanging="1440"/>
      </w:pPr>
      <w:rPr>
        <w:rFonts w:ascii="Arial" w:hAnsi="Arial" w:cs="Arial" w:hint="default"/>
        <w:sz w:val="26"/>
      </w:rPr>
    </w:lvl>
  </w:abstractNum>
  <w:abstractNum w:abstractNumId="4">
    <w:nsid w:val="691C265A"/>
    <w:multiLevelType w:val="multilevel"/>
    <w:tmpl w:val="E99C88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8B04399"/>
    <w:multiLevelType w:val="multilevel"/>
    <w:tmpl w:val="1FFC51DA"/>
    <w:lvl w:ilvl="0">
      <w:start w:val="1"/>
      <w:numFmt w:val="decimal"/>
      <w:lvlText w:val="%1."/>
      <w:lvlJc w:val="left"/>
      <w:pPr>
        <w:ind w:left="630" w:hanging="630"/>
      </w:pPr>
      <w:rPr>
        <w:rFonts w:ascii="Arial" w:hAnsi="Arial" w:cs="Arial" w:hint="default"/>
        <w:sz w:val="26"/>
      </w:rPr>
    </w:lvl>
    <w:lvl w:ilvl="1">
      <w:start w:val="1"/>
      <w:numFmt w:val="decimal"/>
      <w:lvlText w:val="%1.%2."/>
      <w:lvlJc w:val="left"/>
      <w:pPr>
        <w:ind w:left="630" w:hanging="630"/>
      </w:pPr>
      <w:rPr>
        <w:rFonts w:ascii="Arial" w:hAnsi="Arial" w:cs="Arial" w:hint="default"/>
        <w:sz w:val="26"/>
      </w:rPr>
    </w:lvl>
    <w:lvl w:ilvl="2">
      <w:start w:val="5"/>
      <w:numFmt w:val="decimal"/>
      <w:lvlText w:val="%1.%2.%3."/>
      <w:lvlJc w:val="left"/>
      <w:pPr>
        <w:ind w:left="720" w:hanging="720"/>
      </w:pPr>
      <w:rPr>
        <w:rFonts w:ascii="Arial" w:hAnsi="Arial" w:cs="Arial" w:hint="default"/>
        <w:sz w:val="26"/>
      </w:rPr>
    </w:lvl>
    <w:lvl w:ilvl="3">
      <w:start w:val="1"/>
      <w:numFmt w:val="decimal"/>
      <w:lvlText w:val="%1.%2.%3.%4."/>
      <w:lvlJc w:val="left"/>
      <w:pPr>
        <w:ind w:left="720" w:hanging="720"/>
      </w:pPr>
      <w:rPr>
        <w:rFonts w:ascii="Arial" w:hAnsi="Arial" w:cs="Arial" w:hint="default"/>
        <w:sz w:val="26"/>
      </w:rPr>
    </w:lvl>
    <w:lvl w:ilvl="4">
      <w:start w:val="1"/>
      <w:numFmt w:val="decimal"/>
      <w:lvlText w:val="%1.%2.%3.%4.%5."/>
      <w:lvlJc w:val="left"/>
      <w:pPr>
        <w:ind w:left="1080" w:hanging="1080"/>
      </w:pPr>
      <w:rPr>
        <w:rFonts w:ascii="Arial" w:hAnsi="Arial" w:cs="Arial" w:hint="default"/>
        <w:sz w:val="26"/>
      </w:rPr>
    </w:lvl>
    <w:lvl w:ilvl="5">
      <w:start w:val="1"/>
      <w:numFmt w:val="decimal"/>
      <w:lvlText w:val="%1.%2.%3.%4.%5.%6."/>
      <w:lvlJc w:val="left"/>
      <w:pPr>
        <w:ind w:left="1080" w:hanging="1080"/>
      </w:pPr>
      <w:rPr>
        <w:rFonts w:ascii="Arial" w:hAnsi="Arial" w:cs="Arial" w:hint="default"/>
        <w:sz w:val="26"/>
      </w:rPr>
    </w:lvl>
    <w:lvl w:ilvl="6">
      <w:start w:val="1"/>
      <w:numFmt w:val="decimal"/>
      <w:lvlText w:val="%1.%2.%3.%4.%5.%6.%7."/>
      <w:lvlJc w:val="left"/>
      <w:pPr>
        <w:ind w:left="1440" w:hanging="1440"/>
      </w:pPr>
      <w:rPr>
        <w:rFonts w:ascii="Arial" w:hAnsi="Arial" w:cs="Arial" w:hint="default"/>
        <w:sz w:val="26"/>
      </w:rPr>
    </w:lvl>
    <w:lvl w:ilvl="7">
      <w:start w:val="1"/>
      <w:numFmt w:val="decimal"/>
      <w:lvlText w:val="%1.%2.%3.%4.%5.%6.%7.%8."/>
      <w:lvlJc w:val="left"/>
      <w:pPr>
        <w:ind w:left="1440" w:hanging="1440"/>
      </w:pPr>
      <w:rPr>
        <w:rFonts w:ascii="Arial" w:hAnsi="Arial" w:cs="Arial" w:hint="default"/>
        <w:sz w:val="26"/>
      </w:rPr>
    </w:lvl>
    <w:lvl w:ilvl="8">
      <w:start w:val="1"/>
      <w:numFmt w:val="decimal"/>
      <w:lvlText w:val="%1.%2.%3.%4.%5.%6.%7.%8.%9."/>
      <w:lvlJc w:val="left"/>
      <w:pPr>
        <w:ind w:left="1800" w:hanging="1800"/>
      </w:pPr>
      <w:rPr>
        <w:rFonts w:ascii="Arial" w:hAnsi="Arial" w:cs="Arial" w:hint="default"/>
        <w:sz w:val="26"/>
      </w:rPr>
    </w:lvl>
  </w:abstractNum>
  <w:abstractNum w:abstractNumId="6">
    <w:nsid w:val="7D050700"/>
    <w:multiLevelType w:val="multilevel"/>
    <w:tmpl w:val="80E43E86"/>
    <w:lvl w:ilvl="0">
      <w:start w:val="2"/>
      <w:numFmt w:val="decimal"/>
      <w:lvlText w:val="%1."/>
      <w:lvlJc w:val="left"/>
      <w:pPr>
        <w:ind w:left="630" w:hanging="630"/>
      </w:pPr>
      <w:rPr>
        <w:rFonts w:ascii="Arial" w:hAnsi="Arial" w:cs="Arial" w:hint="default"/>
        <w:sz w:val="26"/>
      </w:rPr>
    </w:lvl>
    <w:lvl w:ilvl="1">
      <w:start w:val="1"/>
      <w:numFmt w:val="decimal"/>
      <w:lvlText w:val="%1.%2."/>
      <w:lvlJc w:val="left"/>
      <w:pPr>
        <w:ind w:left="630" w:hanging="630"/>
      </w:pPr>
      <w:rPr>
        <w:rFonts w:ascii="Arial" w:hAnsi="Arial" w:cs="Arial" w:hint="default"/>
        <w:sz w:val="26"/>
      </w:rPr>
    </w:lvl>
    <w:lvl w:ilvl="2">
      <w:start w:val="5"/>
      <w:numFmt w:val="decimal"/>
      <w:lvlText w:val="%1.%2.%3."/>
      <w:lvlJc w:val="left"/>
      <w:pPr>
        <w:ind w:left="720" w:hanging="720"/>
      </w:pPr>
      <w:rPr>
        <w:rFonts w:ascii="Arial" w:hAnsi="Arial" w:cs="Arial" w:hint="default"/>
        <w:sz w:val="26"/>
      </w:rPr>
    </w:lvl>
    <w:lvl w:ilvl="3">
      <w:start w:val="1"/>
      <w:numFmt w:val="decimal"/>
      <w:lvlText w:val="%1.%2.%3.%4."/>
      <w:lvlJc w:val="left"/>
      <w:pPr>
        <w:ind w:left="720" w:hanging="720"/>
      </w:pPr>
      <w:rPr>
        <w:rFonts w:ascii="Arial" w:hAnsi="Arial" w:cs="Arial" w:hint="default"/>
        <w:sz w:val="26"/>
      </w:rPr>
    </w:lvl>
    <w:lvl w:ilvl="4">
      <w:start w:val="1"/>
      <w:numFmt w:val="decimal"/>
      <w:lvlText w:val="%1.%2.%3.%4.%5."/>
      <w:lvlJc w:val="left"/>
      <w:pPr>
        <w:ind w:left="1080" w:hanging="1080"/>
      </w:pPr>
      <w:rPr>
        <w:rFonts w:ascii="Arial" w:hAnsi="Arial" w:cs="Arial" w:hint="default"/>
        <w:sz w:val="26"/>
      </w:rPr>
    </w:lvl>
    <w:lvl w:ilvl="5">
      <w:start w:val="1"/>
      <w:numFmt w:val="decimal"/>
      <w:lvlText w:val="%1.%2.%3.%4.%5.%6."/>
      <w:lvlJc w:val="left"/>
      <w:pPr>
        <w:ind w:left="1080" w:hanging="1080"/>
      </w:pPr>
      <w:rPr>
        <w:rFonts w:ascii="Arial" w:hAnsi="Arial" w:cs="Arial" w:hint="default"/>
        <w:sz w:val="26"/>
      </w:rPr>
    </w:lvl>
    <w:lvl w:ilvl="6">
      <w:start w:val="1"/>
      <w:numFmt w:val="decimal"/>
      <w:lvlText w:val="%1.%2.%3.%4.%5.%6.%7."/>
      <w:lvlJc w:val="left"/>
      <w:pPr>
        <w:ind w:left="1440" w:hanging="1440"/>
      </w:pPr>
      <w:rPr>
        <w:rFonts w:ascii="Arial" w:hAnsi="Arial" w:cs="Arial" w:hint="default"/>
        <w:sz w:val="26"/>
      </w:rPr>
    </w:lvl>
    <w:lvl w:ilvl="7">
      <w:start w:val="1"/>
      <w:numFmt w:val="decimal"/>
      <w:lvlText w:val="%1.%2.%3.%4.%5.%6.%7.%8."/>
      <w:lvlJc w:val="left"/>
      <w:pPr>
        <w:ind w:left="1440" w:hanging="1440"/>
      </w:pPr>
      <w:rPr>
        <w:rFonts w:ascii="Arial" w:hAnsi="Arial" w:cs="Arial" w:hint="default"/>
        <w:sz w:val="26"/>
      </w:rPr>
    </w:lvl>
    <w:lvl w:ilvl="8">
      <w:start w:val="1"/>
      <w:numFmt w:val="decimal"/>
      <w:lvlText w:val="%1.%2.%3.%4.%5.%6.%7.%8.%9."/>
      <w:lvlJc w:val="left"/>
      <w:pPr>
        <w:ind w:left="1800" w:hanging="1800"/>
      </w:pPr>
      <w:rPr>
        <w:rFonts w:ascii="Arial" w:hAnsi="Arial" w:cs="Arial" w:hint="default"/>
        <w:sz w:val="26"/>
      </w:rPr>
    </w:lvl>
  </w:abstractNum>
  <w:num w:numId="1">
    <w:abstractNumId w:val="4"/>
  </w:num>
  <w:num w:numId="2">
    <w:abstractNumId w:val="2"/>
  </w:num>
  <w:num w:numId="3">
    <w:abstractNumId w:val="0"/>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F5"/>
    <w:rsid w:val="000655AE"/>
    <w:rsid w:val="0008779F"/>
    <w:rsid w:val="00097E8A"/>
    <w:rsid w:val="001404C5"/>
    <w:rsid w:val="001C77F3"/>
    <w:rsid w:val="00253AA2"/>
    <w:rsid w:val="002C683D"/>
    <w:rsid w:val="002F0DDE"/>
    <w:rsid w:val="003F6551"/>
    <w:rsid w:val="003F6E20"/>
    <w:rsid w:val="00480BC1"/>
    <w:rsid w:val="004D35F5"/>
    <w:rsid w:val="00644E1A"/>
    <w:rsid w:val="00670118"/>
    <w:rsid w:val="006B38FA"/>
    <w:rsid w:val="0078709D"/>
    <w:rsid w:val="00827CCC"/>
    <w:rsid w:val="008861E6"/>
    <w:rsid w:val="009F2B9D"/>
    <w:rsid w:val="00A931C9"/>
    <w:rsid w:val="00AB59A2"/>
    <w:rsid w:val="00C166C0"/>
    <w:rsid w:val="00C21AAC"/>
    <w:rsid w:val="00C2444E"/>
    <w:rsid w:val="00C5034C"/>
    <w:rsid w:val="00DD1B74"/>
    <w:rsid w:val="00DE110C"/>
    <w:rsid w:val="00E749E7"/>
    <w:rsid w:val="00E94A79"/>
    <w:rsid w:val="00F16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35F5"/>
    <w:pPr>
      <w:ind w:left="720"/>
      <w:contextualSpacing/>
    </w:pPr>
  </w:style>
  <w:style w:type="paragraph" w:styleId="Textodeglobo">
    <w:name w:val="Balloon Text"/>
    <w:basedOn w:val="Normal"/>
    <w:link w:val="TextodegloboCar"/>
    <w:uiPriority w:val="99"/>
    <w:semiHidden/>
    <w:unhideWhenUsed/>
    <w:rsid w:val="00A93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31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35F5"/>
    <w:pPr>
      <w:ind w:left="720"/>
      <w:contextualSpacing/>
    </w:pPr>
  </w:style>
  <w:style w:type="paragraph" w:styleId="Textodeglobo">
    <w:name w:val="Balloon Text"/>
    <w:basedOn w:val="Normal"/>
    <w:link w:val="TextodegloboCar"/>
    <w:uiPriority w:val="99"/>
    <w:semiHidden/>
    <w:unhideWhenUsed/>
    <w:rsid w:val="00A93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3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17</Pages>
  <Words>2548</Words>
  <Characters>14015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Bety</dc:creator>
  <cp:lastModifiedBy>Conta Bety</cp:lastModifiedBy>
  <cp:revision>3</cp:revision>
  <dcterms:created xsi:type="dcterms:W3CDTF">2019-04-08T21:08:00Z</dcterms:created>
  <dcterms:modified xsi:type="dcterms:W3CDTF">2019-04-09T19:02:00Z</dcterms:modified>
</cp:coreProperties>
</file>